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683A" w14:textId="77777777" w:rsidR="0089209B" w:rsidRPr="0089209B" w:rsidRDefault="0089209B" w:rsidP="0089209B">
      <w:pPr>
        <w:jc w:val="center"/>
        <w:rPr>
          <w:b/>
          <w:sz w:val="28"/>
        </w:rPr>
      </w:pPr>
      <w:r w:rsidRPr="0089209B">
        <w:rPr>
          <w:b/>
          <w:sz w:val="28"/>
        </w:rPr>
        <w:t>EUROZONA I KRIZE</w:t>
      </w:r>
    </w:p>
    <w:p w14:paraId="6A236D0F" w14:textId="77777777" w:rsidR="00062657" w:rsidRPr="0089209B" w:rsidRDefault="0089209B" w:rsidP="0089209B">
      <w:pPr>
        <w:jc w:val="center"/>
        <w:rPr>
          <w:b/>
        </w:rPr>
      </w:pPr>
      <w:r w:rsidRPr="0089209B">
        <w:rPr>
          <w:b/>
        </w:rPr>
        <w:t>IZGUBLJENO DESETLJEĆE</w:t>
      </w:r>
    </w:p>
    <w:p w14:paraId="6C1BB92E" w14:textId="77777777" w:rsidR="0089209B" w:rsidRPr="0089209B" w:rsidRDefault="0089209B">
      <w:pPr>
        <w:rPr>
          <w:b/>
        </w:rPr>
      </w:pPr>
      <w:r w:rsidRPr="0089209B">
        <w:rPr>
          <w:b/>
        </w:rPr>
        <w:t>BDP ukupni 2007-2015</w:t>
      </w:r>
    </w:p>
    <w:p w14:paraId="7E9C06A7" w14:textId="77777777" w:rsidR="00CD5733" w:rsidRDefault="0089209B">
      <w:r>
        <w:t xml:space="preserve">eurozona </w:t>
      </w:r>
      <w:r w:rsidR="00CD5733">
        <w:tab/>
      </w:r>
      <w:r w:rsidR="00CD5733">
        <w:tab/>
      </w:r>
      <w:r w:rsidRPr="00CD5733">
        <w:rPr>
          <w:b/>
        </w:rPr>
        <w:t>0,6%</w:t>
      </w:r>
      <w:r>
        <w:t xml:space="preserve"> </w:t>
      </w:r>
    </w:p>
    <w:p w14:paraId="42B83911" w14:textId="77777777" w:rsidR="0089209B" w:rsidRDefault="0089209B" w:rsidP="00CD5733">
      <w:pPr>
        <w:ind w:left="1416" w:firstLine="708"/>
      </w:pPr>
      <w:r>
        <w:t>(Njemačka 6,8% naj</w:t>
      </w:r>
      <w:r w:rsidR="00CD5733">
        <w:t>više</w:t>
      </w:r>
      <w:r>
        <w:t>)</w:t>
      </w:r>
    </w:p>
    <w:p w14:paraId="30721984" w14:textId="77777777" w:rsidR="00CD5733" w:rsidRDefault="00CD5733">
      <w:r>
        <w:t xml:space="preserve">Europa </w:t>
      </w:r>
      <w:proofErr w:type="spellStart"/>
      <w:r>
        <w:t>non</w:t>
      </w:r>
      <w:proofErr w:type="spellEnd"/>
      <w:r>
        <w:t xml:space="preserve">-eurozona </w:t>
      </w:r>
      <w:r>
        <w:tab/>
      </w:r>
      <w:r w:rsidRPr="00CD5733">
        <w:rPr>
          <w:b/>
        </w:rPr>
        <w:t>8,1%</w:t>
      </w:r>
      <w:r>
        <w:t xml:space="preserve"> </w:t>
      </w:r>
    </w:p>
    <w:p w14:paraId="2449BCB7" w14:textId="77777777" w:rsidR="00CD5733" w:rsidRDefault="00CD5733" w:rsidP="00CD5733">
      <w:pPr>
        <w:ind w:left="1416" w:firstLine="708"/>
      </w:pPr>
      <w:r>
        <w:t>(Poljska 28%, Rumunjska 12%)</w:t>
      </w:r>
    </w:p>
    <w:p w14:paraId="3BD97134" w14:textId="77777777" w:rsidR="00CD5733" w:rsidRDefault="00CD5733" w:rsidP="00CD5733">
      <w:r>
        <w:t>US</w:t>
      </w:r>
      <w:r>
        <w:tab/>
      </w:r>
      <w:r>
        <w:tab/>
      </w:r>
      <w:r>
        <w:tab/>
      </w:r>
      <w:r w:rsidRPr="00CD5733">
        <w:rPr>
          <w:b/>
        </w:rPr>
        <w:t>10%</w:t>
      </w:r>
    </w:p>
    <w:p w14:paraId="1FD89EA0" w14:textId="77777777" w:rsidR="00CD5733" w:rsidRDefault="00CD5733" w:rsidP="00CD5733"/>
    <w:p w14:paraId="544A2595" w14:textId="77777777" w:rsidR="00CD5733" w:rsidRPr="0089209B" w:rsidRDefault="00CD5733" w:rsidP="00CD5733">
      <w:pPr>
        <w:rPr>
          <w:b/>
        </w:rPr>
      </w:pPr>
      <w:r w:rsidRPr="0089209B">
        <w:rPr>
          <w:b/>
        </w:rPr>
        <w:t xml:space="preserve">BDP </w:t>
      </w:r>
      <w:r>
        <w:rPr>
          <w:b/>
        </w:rPr>
        <w:t xml:space="preserve">per </w:t>
      </w:r>
      <w:proofErr w:type="spellStart"/>
      <w:r>
        <w:rPr>
          <w:b/>
        </w:rPr>
        <w:t>capita</w:t>
      </w:r>
      <w:proofErr w:type="spellEnd"/>
      <w:r>
        <w:rPr>
          <w:b/>
        </w:rPr>
        <w:t xml:space="preserve"> </w:t>
      </w:r>
      <w:r w:rsidRPr="0089209B">
        <w:rPr>
          <w:b/>
        </w:rPr>
        <w:t>2007-2015</w:t>
      </w:r>
    </w:p>
    <w:p w14:paraId="3B90AD94" w14:textId="77777777" w:rsidR="00CD5733" w:rsidRDefault="00CD5733" w:rsidP="00CD5733">
      <w:r>
        <w:t xml:space="preserve">eurozona </w:t>
      </w:r>
      <w:r>
        <w:tab/>
      </w:r>
      <w:r>
        <w:tab/>
        <w:t xml:space="preserve">-1.8% </w:t>
      </w:r>
    </w:p>
    <w:p w14:paraId="385FE88C" w14:textId="77777777" w:rsidR="00CD5733" w:rsidRDefault="00CD5733" w:rsidP="00CD5733">
      <w:pPr>
        <w:ind w:left="1416" w:firstLine="708"/>
      </w:pPr>
      <w:r>
        <w:t>(Njemačka 6,8% najviše)</w:t>
      </w:r>
    </w:p>
    <w:p w14:paraId="52691E45" w14:textId="77777777" w:rsidR="00CD5733" w:rsidRDefault="00CD5733" w:rsidP="00CD5733">
      <w:r>
        <w:t xml:space="preserve">Europa </w:t>
      </w:r>
      <w:proofErr w:type="spellStart"/>
      <w:r>
        <w:t>non</w:t>
      </w:r>
      <w:proofErr w:type="spellEnd"/>
      <w:r>
        <w:t xml:space="preserve">-eurozona </w:t>
      </w:r>
      <w:r>
        <w:tab/>
        <w:t>+1%</w:t>
      </w:r>
    </w:p>
    <w:p w14:paraId="25BB2DFC" w14:textId="77777777" w:rsidR="00CD5733" w:rsidRDefault="00CD5733" w:rsidP="00CD5733">
      <w:pPr>
        <w:ind w:left="1416" w:firstLine="708"/>
      </w:pPr>
      <w:r>
        <w:t>(Poljska 28%, Rumunjska 12%)</w:t>
      </w:r>
    </w:p>
    <w:p w14:paraId="18DFEC20" w14:textId="77777777" w:rsidR="00CD5733" w:rsidRDefault="00CD5733" w:rsidP="00CD5733">
      <w:r>
        <w:t>US</w:t>
      </w:r>
      <w:r>
        <w:tab/>
      </w:r>
      <w:r>
        <w:tab/>
      </w:r>
      <w:r>
        <w:tab/>
        <w:t>+3%</w:t>
      </w:r>
    </w:p>
    <w:p w14:paraId="6172375A" w14:textId="77777777" w:rsidR="00CD5733" w:rsidRDefault="00CD5733" w:rsidP="00CD5733"/>
    <w:p w14:paraId="75C26C95" w14:textId="77777777" w:rsidR="00CD5733" w:rsidRPr="0089209B" w:rsidRDefault="00CD5733" w:rsidP="00CD5733">
      <w:pPr>
        <w:rPr>
          <w:b/>
        </w:rPr>
      </w:pPr>
      <w:r>
        <w:rPr>
          <w:b/>
        </w:rPr>
        <w:t xml:space="preserve">Produktivnost </w:t>
      </w:r>
      <w:r w:rsidRPr="0089209B">
        <w:rPr>
          <w:b/>
        </w:rPr>
        <w:t>2007-2015</w:t>
      </w:r>
      <w:r>
        <w:rPr>
          <w:b/>
        </w:rPr>
        <w:t xml:space="preserve"> (</w:t>
      </w:r>
      <w:proofErr w:type="spellStart"/>
      <w:r>
        <w:rPr>
          <w:b/>
        </w:rPr>
        <w:t>bdp</w:t>
      </w:r>
      <w:proofErr w:type="spellEnd"/>
      <w:r>
        <w:rPr>
          <w:b/>
        </w:rPr>
        <w:t>/radno-aktivnom stanovništvu)</w:t>
      </w:r>
    </w:p>
    <w:p w14:paraId="3ECC77C1" w14:textId="77777777" w:rsidR="00CD5733" w:rsidRDefault="00CD5733" w:rsidP="00CD5733">
      <w:r>
        <w:t xml:space="preserve">eurozona </w:t>
      </w:r>
      <w:r>
        <w:tab/>
      </w:r>
      <w:r>
        <w:tab/>
      </w:r>
      <w:r w:rsidRPr="00CD5733">
        <w:rPr>
          <w:b/>
        </w:rPr>
        <w:t>+0,6%</w:t>
      </w:r>
      <w:r>
        <w:t xml:space="preserve"> </w:t>
      </w:r>
    </w:p>
    <w:p w14:paraId="451B090B" w14:textId="77777777" w:rsidR="00CD5733" w:rsidRDefault="00CD5733" w:rsidP="00CD5733">
      <w:pPr>
        <w:ind w:left="1416" w:firstLine="708"/>
      </w:pPr>
      <w:r>
        <w:t>(Njemačka  -0,7%)</w:t>
      </w:r>
    </w:p>
    <w:p w14:paraId="3936D459" w14:textId="77777777" w:rsidR="00CD5733" w:rsidRDefault="00CD5733" w:rsidP="00CD5733">
      <w:r>
        <w:t xml:space="preserve">Europa </w:t>
      </w:r>
      <w:proofErr w:type="spellStart"/>
      <w:r>
        <w:t>non</w:t>
      </w:r>
      <w:proofErr w:type="spellEnd"/>
      <w:r>
        <w:t xml:space="preserve">-eurozona </w:t>
      </w:r>
      <w:r>
        <w:tab/>
      </w:r>
      <w:r w:rsidRPr="00CD5733">
        <w:rPr>
          <w:b/>
        </w:rPr>
        <w:t>+3,9%</w:t>
      </w:r>
    </w:p>
    <w:p w14:paraId="077D1CA6" w14:textId="77777777" w:rsidR="00CD5733" w:rsidRDefault="00CD5733" w:rsidP="00CD5733">
      <w:pPr>
        <w:ind w:left="1416" w:firstLine="708"/>
      </w:pPr>
      <w:r>
        <w:t>(Poljska 28%, Rumunjska 12%)</w:t>
      </w:r>
    </w:p>
    <w:p w14:paraId="65C0B643" w14:textId="77777777" w:rsidR="00CD5733" w:rsidRDefault="00CD5733" w:rsidP="00CD5733">
      <w:r>
        <w:t>US</w:t>
      </w:r>
      <w:r>
        <w:tab/>
      </w:r>
      <w:r>
        <w:tab/>
      </w:r>
      <w:r>
        <w:tab/>
      </w:r>
      <w:r w:rsidRPr="00CD5733">
        <w:rPr>
          <w:b/>
        </w:rPr>
        <w:t>+7,9%</w:t>
      </w:r>
    </w:p>
    <w:p w14:paraId="2D1D1DC1" w14:textId="77777777" w:rsidR="00CD5733" w:rsidRDefault="00CD5733"/>
    <w:p w14:paraId="510B40CA" w14:textId="77777777" w:rsidR="0089209B" w:rsidRPr="00CD5733" w:rsidRDefault="00CD5733">
      <w:pPr>
        <w:rPr>
          <w:i/>
        </w:rPr>
      </w:pPr>
      <w:r w:rsidRPr="00CD5733">
        <w:rPr>
          <w:i/>
        </w:rPr>
        <w:t xml:space="preserve">Izvor: </w:t>
      </w:r>
      <w:proofErr w:type="spellStart"/>
      <w:r w:rsidRPr="00CD5733">
        <w:rPr>
          <w:i/>
        </w:rPr>
        <w:t>Stiglitz</w:t>
      </w:r>
      <w:proofErr w:type="spellEnd"/>
      <w:r w:rsidRPr="00CD5733">
        <w:rPr>
          <w:i/>
        </w:rPr>
        <w:t>, Euro, str. 66</w:t>
      </w:r>
    </w:p>
    <w:sectPr w:rsidR="0089209B" w:rsidRPr="00CD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9B"/>
    <w:rsid w:val="00062657"/>
    <w:rsid w:val="0089209B"/>
    <w:rsid w:val="00BF70A3"/>
    <w:rsid w:val="00CD5733"/>
    <w:rsid w:val="00E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811F"/>
  <w15:chartTrackingRefBased/>
  <w15:docId w15:val="{1B5F34C8-17E8-45CE-85E3-3BE16B0F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Vilim Ribić</dc:creator>
  <cp:keywords/>
  <dc:description/>
  <cp:lastModifiedBy>Matija Kroflin</cp:lastModifiedBy>
  <cp:revision>2</cp:revision>
  <cp:lastPrinted>2022-05-05T08:18:00Z</cp:lastPrinted>
  <dcterms:created xsi:type="dcterms:W3CDTF">2022-05-05T10:07:00Z</dcterms:created>
  <dcterms:modified xsi:type="dcterms:W3CDTF">2022-05-05T10:07:00Z</dcterms:modified>
</cp:coreProperties>
</file>