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9DD" w:rsidRPr="000655AF" w:rsidRDefault="00B8044D" w:rsidP="00E55084">
      <w:pPr>
        <w:jc w:val="center"/>
      </w:pPr>
      <w:r w:rsidRPr="000655AF">
        <w:rPr>
          <w:noProof/>
          <w:lang w:val="hr-HR" w:eastAsia="hr-HR" w:bidi="ar-SA"/>
        </w:rPr>
        <mc:AlternateContent>
          <mc:Choice Requires="wps">
            <w:drawing>
              <wp:anchor distT="0" distB="0" distL="114300" distR="114300" simplePos="0" relativeHeight="251657216" behindDoc="1" locked="0" layoutInCell="0" allowOverlap="1" wp14:anchorId="52B9D409" wp14:editId="3E0837EF">
                <wp:simplePos x="0" y="0"/>
                <wp:positionH relativeFrom="page">
                  <wp:posOffset>6769100</wp:posOffset>
                </wp:positionH>
                <wp:positionV relativeFrom="page">
                  <wp:posOffset>10081260</wp:posOffset>
                </wp:positionV>
                <wp:extent cx="647700" cy="396240"/>
                <wp:effectExtent l="0" t="0" r="0" b="381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E6" w:rsidRPr="0077555F" w:rsidRDefault="003932E6" w:rsidP="00E82081">
                            <w:pPr>
                              <w:jc w:val="center"/>
                              <w:rPr>
                                <w:rFonts w:ascii="Arial" w:hAnsi="Arial" w:cs="Arial"/>
                                <w:b/>
                                <w:sz w:val="48"/>
                              </w:rPr>
                            </w:pPr>
                            <w:r w:rsidRPr="0077555F">
                              <w:rPr>
                                <w:rFonts w:ascii="Arial" w:hAnsi="Arial"/>
                                <w:b/>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9D409"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lftgIAALkFAAAOAAAAZHJzL2Uyb0RvYy54bWysVNtunDAQfa/Uf7D8ToCNFxYUtkqWpaqU&#10;XqSkH+AFs1gFm9rehbTqv3ds9pbkpWrLA7I94zNnZo7n5t3YtWjPlOZSZDi8CjBiopQVF9sMf30s&#10;vAVG2lBR0VYKluEnpvG75ds3N0OfsplsZFsxhQBE6HToM9wY06e+r8uGdVRfyZ4JMNZSddTAVm39&#10;StEB0LvWnwVB5A9SVb2SJdMaTvPJiJcOv65ZaT7XtWYGtRkGbsb9lftv7N9f3tB0q2jf8PJAg/4F&#10;i45yAUFPUDk1FO0UfwXV8VJJLWtzVcrOl3XNS+ZygGzC4EU2Dw3tmcsFiqP7U5n0/4MtP+2/KMSr&#10;DF9jJGgHLXpko0F3ckRhbMsz9DoFr4ce/MwI59Bml6ru72X5TSMhVw0VW3arlBwaRiugF9qb/sXV&#10;CUdbkM3wUVYQh+6MdEBjrTpbO6gGAnRo09OpNZZLCYcRieMALCWYrpNoRlzrfJoeL/dKm/dMdsgu&#10;Mqyg8w6c7u+1sWRoenSxsYQseNu67rfi2QE4TicQGq5amyXhmvkzCZL1Yr0gHplFa48Eee7dFivi&#10;RUUYz/PrfLXKw182bkjShlcVEzbMUVgh+bPGHSQ+SeIkLS1bXlk4S0mr7WbVKrSnIOzCfa7kYDm7&#10;+c9puCJALi9SCqGYd7PEK6JF7JGCzL0kDhZeECZ3SRSQhOTF85TuuWD/nhIaMpzMZ/NJS2fSL3IL&#10;3Pc6N5p23MDoaHmX4cXJiaZWgWtRudYayttpfVEKS/9cCmj3sdFOr1aik1jNuBkBxYp4I6snUK6S&#10;oCwQIcw7WDRS/cBogNmRYf19RxXDqP0gQP1JSECfyLgNmccz2KhLy+bSQkUJUBk2GE3LlZkG1K5X&#10;fNtApOm9CXkLL6bmTs1nVod3BvPBJXWYZXYAXe6d13niLn8D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O4r5X7YCAAC5&#10;BQAADgAAAAAAAAAAAAAAAAAuAgAAZHJzL2Uyb0RvYy54bWxQSwECLQAUAAYACAAAACEA61QxWt4A&#10;AAAPAQAADwAAAAAAAAAAAAAAAAAQBQAAZHJzL2Rvd25yZXYueG1sUEsFBgAAAAAEAAQA8wAAABsG&#10;AAAAAA==&#10;" o:allowincell="f" filled="f" stroked="f">
                <v:textbox>
                  <w:txbxContent>
                    <w:p w:rsidR="003932E6" w:rsidRPr="0077555F" w:rsidRDefault="003932E6" w:rsidP="00E82081">
                      <w:pPr>
                        <w:jc w:val="center"/>
                        <w:rPr>
                          <w:rFonts w:ascii="Arial" w:hAnsi="Arial" w:cs="Arial"/>
                          <w:b/>
                          <w:sz w:val="48"/>
                        </w:rPr>
                      </w:pPr>
                      <w:r w:rsidRPr="0077555F">
                        <w:rPr>
                          <w:rFonts w:ascii="Arial" w:hAnsi="Arial"/>
                          <w:b/>
                          <w:sz w:val="48"/>
                        </w:rPr>
                        <w:t>EN</w:t>
                      </w:r>
                    </w:p>
                  </w:txbxContent>
                </v:textbox>
                <w10:wrap anchorx="page" anchory="page"/>
              </v:shape>
            </w:pict>
          </mc:Fallback>
        </mc:AlternateContent>
      </w:r>
      <w:r w:rsidRPr="000655AF">
        <w:rPr>
          <w:noProof/>
          <w:lang w:val="hr-HR" w:eastAsia="hr-HR" w:bidi="ar-SA"/>
        </w:rPr>
        <w:drawing>
          <wp:inline distT="0" distB="0" distL="0" distR="0" wp14:anchorId="5C569D6B" wp14:editId="01E20AA9">
            <wp:extent cx="889000" cy="539750"/>
            <wp:effectExtent l="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00" cy="539750"/>
                    </a:xfrm>
                    <a:prstGeom prst="rect">
                      <a:avLst/>
                    </a:prstGeom>
                    <a:noFill/>
                    <a:ln>
                      <a:noFill/>
                    </a:ln>
                  </pic:spPr>
                </pic:pic>
              </a:graphicData>
            </a:graphic>
          </wp:inline>
        </w:drawing>
      </w:r>
    </w:p>
    <w:p w:rsidR="009A49DD" w:rsidRPr="000655AF" w:rsidRDefault="009A49DD" w:rsidP="00E55084">
      <w:pPr>
        <w:jc w:val="center"/>
        <w:rPr>
          <w:b/>
          <w:i/>
        </w:rPr>
      </w:pPr>
      <w:r w:rsidRPr="000655AF">
        <w:rPr>
          <w:rFonts w:ascii="Arial" w:hAnsi="Arial"/>
          <w:b/>
          <w:i/>
          <w:sz w:val="20"/>
        </w:rPr>
        <w:t>European Economic and Social Committee</w:t>
      </w:r>
    </w:p>
    <w:p w:rsidR="009A49DD" w:rsidRPr="000655AF" w:rsidRDefault="009A49DD" w:rsidP="00E55084"/>
    <w:p w:rsidR="009A49DD" w:rsidRPr="000655AF" w:rsidRDefault="009A49DD" w:rsidP="00E55084"/>
    <w:p w:rsidR="002D7E84" w:rsidRPr="000655AF" w:rsidRDefault="002D7E84" w:rsidP="002D7E84">
      <w:pPr>
        <w:jc w:val="right"/>
      </w:pPr>
      <w:r w:rsidRPr="000655AF">
        <w:rPr>
          <w:b/>
        </w:rPr>
        <w:t>INT/</w:t>
      </w:r>
      <w:r w:rsidR="00EA2877" w:rsidRPr="000655AF">
        <w:rPr>
          <w:b/>
        </w:rPr>
        <w:t>792</w:t>
      </w:r>
    </w:p>
    <w:p w:rsidR="002D7E84" w:rsidRPr="000655AF" w:rsidRDefault="00EA2877" w:rsidP="002D7E84">
      <w:pPr>
        <w:jc w:val="right"/>
        <w:rPr>
          <w:b/>
        </w:rPr>
      </w:pPr>
      <w:r w:rsidRPr="000655AF">
        <w:rPr>
          <w:b/>
        </w:rPr>
        <w:t>Mid-term evaluation of Horizon 2020</w:t>
      </w:r>
    </w:p>
    <w:p w:rsidR="002D7E84" w:rsidRPr="000655AF" w:rsidRDefault="002D7E84" w:rsidP="002D7E84"/>
    <w:p w:rsidR="002D7E84" w:rsidRPr="000655AF" w:rsidRDefault="002D7E84" w:rsidP="002D7E84"/>
    <w:p w:rsidR="002D7E84" w:rsidRPr="000655AF" w:rsidRDefault="002D7E84" w:rsidP="002D7E84">
      <w:pPr>
        <w:jc w:val="center"/>
      </w:pPr>
      <w:r w:rsidRPr="000655AF">
        <w:rPr>
          <w:b/>
          <w:sz w:val="28"/>
        </w:rPr>
        <w:t>DRAFT OPINION</w:t>
      </w:r>
      <w:r w:rsidRPr="000655AF">
        <w:rPr>
          <w:b/>
          <w:sz w:val="28"/>
        </w:rPr>
        <w:br/>
      </w:r>
      <w:r w:rsidRPr="000655AF">
        <w:rPr>
          <w:b/>
        </w:rPr>
        <w:br/>
      </w:r>
      <w:r w:rsidRPr="000655AF">
        <w:t xml:space="preserve">Section for the Single Market, Production and Consumption </w:t>
      </w:r>
    </w:p>
    <w:p w:rsidR="002D7E84" w:rsidRPr="000655AF" w:rsidRDefault="002D7E84" w:rsidP="00672380">
      <w:pPr>
        <w:jc w:val="center"/>
        <w:rPr>
          <w:b/>
        </w:rPr>
      </w:pPr>
      <w:r w:rsidRPr="000655AF">
        <w:rPr>
          <w:b/>
        </w:rPr>
        <w:br/>
      </w:r>
      <w:r w:rsidR="00672380" w:rsidRPr="000655AF">
        <w:rPr>
          <w:b/>
        </w:rPr>
        <w:t>Mid-term evaluation of Horizon 2020</w:t>
      </w:r>
      <w:r w:rsidRPr="000655AF">
        <w:rPr>
          <w:b/>
        </w:rPr>
        <w:br/>
      </w:r>
      <w:r w:rsidR="00672380" w:rsidRPr="000655AF">
        <w:t>Exploratory opinion</w:t>
      </w:r>
    </w:p>
    <w:p w:rsidR="002D7E84" w:rsidRPr="000655AF" w:rsidRDefault="002D7E84" w:rsidP="002D7E84">
      <w:pPr>
        <w:jc w:val="center"/>
      </w:pPr>
    </w:p>
    <w:tbl>
      <w:tblPr>
        <w:tblpPr w:leftFromText="181" w:rightFromText="181" w:tblpYSpec="bottom"/>
        <w:tblOverlap w:val="never"/>
        <w:tblW w:w="0" w:type="auto"/>
        <w:tblLayout w:type="fixed"/>
        <w:tblLook w:val="04A0" w:firstRow="1" w:lastRow="0" w:firstColumn="1" w:lastColumn="0" w:noHBand="0" w:noVBand="1"/>
      </w:tblPr>
      <w:tblGrid>
        <w:gridCol w:w="3085"/>
        <w:gridCol w:w="6204"/>
      </w:tblGrid>
      <w:tr w:rsidR="002D7E84" w:rsidRPr="000655AF" w:rsidTr="00FD4504">
        <w:tc>
          <w:tcPr>
            <w:tcW w:w="9289" w:type="dxa"/>
            <w:gridSpan w:val="2"/>
          </w:tcPr>
          <w:p w:rsidR="002D7E84" w:rsidRPr="000655AF" w:rsidRDefault="002D7E84" w:rsidP="00FD4504">
            <w:pPr>
              <w:jc w:val="left"/>
            </w:pPr>
            <w:r w:rsidRPr="000655AF">
              <w:t>For the attention of the section members</w:t>
            </w:r>
          </w:p>
        </w:tc>
      </w:tr>
      <w:tr w:rsidR="002D7E84" w:rsidRPr="000655AF" w:rsidTr="00FD4504">
        <w:tc>
          <w:tcPr>
            <w:tcW w:w="9289" w:type="dxa"/>
            <w:gridSpan w:val="2"/>
          </w:tcPr>
          <w:p w:rsidR="002D7E84" w:rsidRPr="000655AF" w:rsidRDefault="002D7E84" w:rsidP="00FD4504">
            <w:pPr>
              <w:jc w:val="left"/>
            </w:pPr>
          </w:p>
        </w:tc>
      </w:tr>
      <w:tr w:rsidR="002D7E84" w:rsidRPr="000655AF" w:rsidTr="00FD4504">
        <w:tc>
          <w:tcPr>
            <w:tcW w:w="3085" w:type="dxa"/>
          </w:tcPr>
          <w:p w:rsidR="002D7E84" w:rsidRPr="000655AF" w:rsidRDefault="002D7E84" w:rsidP="00FD4504">
            <w:pPr>
              <w:jc w:val="left"/>
            </w:pPr>
            <w:r w:rsidRPr="000655AF">
              <w:t>Section meeting</w:t>
            </w:r>
          </w:p>
        </w:tc>
        <w:tc>
          <w:tcPr>
            <w:tcW w:w="6204" w:type="dxa"/>
          </w:tcPr>
          <w:p w:rsidR="002D7E84" w:rsidRPr="000655AF" w:rsidRDefault="002D7E84" w:rsidP="00FD4504">
            <w:pPr>
              <w:jc w:val="left"/>
            </w:pPr>
            <w:r w:rsidRPr="000655AF">
              <w:t>04/10/2016, 10:00</w:t>
            </w:r>
          </w:p>
        </w:tc>
      </w:tr>
      <w:tr w:rsidR="002D7E84" w:rsidRPr="000655AF" w:rsidTr="00FD4504">
        <w:tc>
          <w:tcPr>
            <w:tcW w:w="3085" w:type="dxa"/>
          </w:tcPr>
          <w:p w:rsidR="002D7E84" w:rsidRPr="000655AF" w:rsidRDefault="002D7E84" w:rsidP="00FD4504">
            <w:pPr>
              <w:jc w:val="left"/>
              <w:rPr>
                <w:b/>
              </w:rPr>
            </w:pPr>
            <w:r w:rsidRPr="000655AF">
              <w:rPr>
                <w:b/>
              </w:rPr>
              <w:t>Deadline for amendments</w:t>
            </w:r>
          </w:p>
        </w:tc>
        <w:tc>
          <w:tcPr>
            <w:tcW w:w="6204" w:type="dxa"/>
          </w:tcPr>
          <w:p w:rsidR="002D7E84" w:rsidRPr="000655AF" w:rsidRDefault="002D7E84" w:rsidP="00FD4504">
            <w:pPr>
              <w:jc w:val="left"/>
              <w:rPr>
                <w:b/>
              </w:rPr>
            </w:pPr>
            <w:r w:rsidRPr="000655AF">
              <w:rPr>
                <w:b/>
              </w:rPr>
              <w:t>29/09/2016, 10:00</w:t>
            </w:r>
          </w:p>
        </w:tc>
      </w:tr>
      <w:tr w:rsidR="002D7E84" w:rsidRPr="000655AF" w:rsidTr="00FD4504">
        <w:tc>
          <w:tcPr>
            <w:tcW w:w="3085" w:type="dxa"/>
          </w:tcPr>
          <w:p w:rsidR="002D7E84" w:rsidRPr="000655AF" w:rsidRDefault="002D7E84" w:rsidP="00FD4504">
            <w:pPr>
              <w:jc w:val="left"/>
            </w:pPr>
            <w:r w:rsidRPr="000655AF">
              <w:t>Contact</w:t>
            </w:r>
          </w:p>
        </w:tc>
        <w:tc>
          <w:tcPr>
            <w:tcW w:w="6204" w:type="dxa"/>
          </w:tcPr>
          <w:p w:rsidR="002D7E84" w:rsidRPr="000655AF" w:rsidRDefault="005B2C2A" w:rsidP="00FD4504">
            <w:pPr>
              <w:jc w:val="left"/>
            </w:pPr>
            <w:hyperlink r:id="rId14" w:history="1">
              <w:r w:rsidR="002D7E84" w:rsidRPr="000655AF">
                <w:rPr>
                  <w:rStyle w:val="Hiperveza"/>
                </w:rPr>
                <w:t>int@eesc.europa.eu</w:t>
              </w:r>
            </w:hyperlink>
          </w:p>
        </w:tc>
      </w:tr>
      <w:tr w:rsidR="002D7E84" w:rsidRPr="000655AF" w:rsidTr="00FD4504">
        <w:tc>
          <w:tcPr>
            <w:tcW w:w="3085" w:type="dxa"/>
          </w:tcPr>
          <w:p w:rsidR="002D7E84" w:rsidRPr="000655AF" w:rsidRDefault="002D7E84" w:rsidP="00FD4504">
            <w:pPr>
              <w:jc w:val="left"/>
            </w:pPr>
            <w:r w:rsidRPr="000655AF">
              <w:t>Administrator</w:t>
            </w:r>
          </w:p>
        </w:tc>
        <w:tc>
          <w:tcPr>
            <w:tcW w:w="6204" w:type="dxa"/>
          </w:tcPr>
          <w:p w:rsidR="002D7E84" w:rsidRPr="000655AF" w:rsidRDefault="009B14D7" w:rsidP="00FD4504">
            <w:pPr>
              <w:jc w:val="left"/>
            </w:pPr>
            <w:r w:rsidRPr="000655AF">
              <w:t>Alice TÉTU</w:t>
            </w:r>
          </w:p>
        </w:tc>
      </w:tr>
      <w:tr w:rsidR="002D7E84" w:rsidRPr="000655AF" w:rsidTr="00FD4504">
        <w:tc>
          <w:tcPr>
            <w:tcW w:w="3085" w:type="dxa"/>
          </w:tcPr>
          <w:p w:rsidR="002D7E84" w:rsidRPr="000655AF" w:rsidRDefault="002D7E84" w:rsidP="00FD4504">
            <w:pPr>
              <w:jc w:val="left"/>
            </w:pPr>
            <w:r w:rsidRPr="000655AF">
              <w:t>Document date</w:t>
            </w:r>
          </w:p>
        </w:tc>
        <w:tc>
          <w:tcPr>
            <w:tcW w:w="6204" w:type="dxa"/>
          </w:tcPr>
          <w:p w:rsidR="002D7E84" w:rsidRPr="000655AF" w:rsidRDefault="00334DEF" w:rsidP="00BB172B">
            <w:pPr>
              <w:jc w:val="left"/>
            </w:pPr>
            <w:r w:rsidRPr="000655AF">
              <w:t>23/09</w:t>
            </w:r>
            <w:r w:rsidR="002D7E84" w:rsidRPr="000655AF">
              <w:t>/2016</w:t>
            </w:r>
          </w:p>
        </w:tc>
      </w:tr>
    </w:tbl>
    <w:p w:rsidR="002D7E84" w:rsidRPr="000655AF" w:rsidRDefault="002D7E84" w:rsidP="002D7E84">
      <w:pPr>
        <w:jc w:val="center"/>
        <w:rPr>
          <w:b/>
        </w:rPr>
      </w:pPr>
      <w:r w:rsidRPr="000655AF">
        <w:t xml:space="preserve">Rapporteur: </w:t>
      </w:r>
      <w:r w:rsidR="007261D6" w:rsidRPr="000655AF">
        <w:rPr>
          <w:b/>
        </w:rPr>
        <w:t>Ulrich SAMM</w:t>
      </w:r>
    </w:p>
    <w:p w:rsidR="002D7E84" w:rsidRPr="000655AF" w:rsidRDefault="002D7E84" w:rsidP="002D7E84"/>
    <w:p w:rsidR="002D7E84" w:rsidRPr="000655AF" w:rsidRDefault="002D7E84" w:rsidP="002D7E84"/>
    <w:p w:rsidR="002D7E84" w:rsidRPr="000655AF" w:rsidRDefault="002D7E84" w:rsidP="002D7E84">
      <w:pPr>
        <w:jc w:val="left"/>
        <w:sectPr w:rsidR="002D7E84" w:rsidRPr="000655AF" w:rsidSect="00AF5697">
          <w:footerReference w:type="default" r:id="rId15"/>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72"/>
        <w:gridCol w:w="6171"/>
      </w:tblGrid>
      <w:tr w:rsidR="002D7E84" w:rsidRPr="000655AF" w:rsidTr="00FD4504">
        <w:tc>
          <w:tcPr>
            <w:tcW w:w="3072" w:type="dxa"/>
          </w:tcPr>
          <w:p w:rsidR="002D7E84" w:rsidRPr="000655AF" w:rsidRDefault="002D7E84" w:rsidP="00FD4504">
            <w:pPr>
              <w:jc w:val="left"/>
            </w:pPr>
            <w:r w:rsidRPr="000655AF">
              <w:lastRenderedPageBreak/>
              <w:t>Study Group</w:t>
            </w:r>
          </w:p>
        </w:tc>
        <w:tc>
          <w:tcPr>
            <w:tcW w:w="6171" w:type="dxa"/>
          </w:tcPr>
          <w:p w:rsidR="002D7E84" w:rsidRPr="000655AF" w:rsidRDefault="00E84D71" w:rsidP="00FD4504">
            <w:pPr>
              <w:jc w:val="left"/>
            </w:pPr>
            <w:r w:rsidRPr="000655AF">
              <w:t>Mid-term evaluation of Horizon 2020</w:t>
            </w:r>
          </w:p>
        </w:tc>
      </w:tr>
      <w:tr w:rsidR="002D7E84" w:rsidRPr="000655AF" w:rsidTr="00FD4504">
        <w:tc>
          <w:tcPr>
            <w:tcW w:w="3072" w:type="dxa"/>
          </w:tcPr>
          <w:p w:rsidR="002D7E84" w:rsidRPr="000655AF" w:rsidRDefault="002D7E84" w:rsidP="00FD4504">
            <w:pPr>
              <w:jc w:val="left"/>
            </w:pPr>
          </w:p>
        </w:tc>
        <w:tc>
          <w:tcPr>
            <w:tcW w:w="6171" w:type="dxa"/>
          </w:tcPr>
          <w:p w:rsidR="002D7E84" w:rsidRPr="000655AF" w:rsidRDefault="002D7E84" w:rsidP="00FD4504">
            <w:pPr>
              <w:jc w:val="left"/>
            </w:pPr>
          </w:p>
        </w:tc>
      </w:tr>
      <w:tr w:rsidR="002D7E84" w:rsidRPr="000655AF" w:rsidTr="00FD4504">
        <w:tc>
          <w:tcPr>
            <w:tcW w:w="3072" w:type="dxa"/>
          </w:tcPr>
          <w:p w:rsidR="002D7E84" w:rsidRPr="000655AF" w:rsidRDefault="002D7E84" w:rsidP="00FD4504">
            <w:pPr>
              <w:jc w:val="left"/>
            </w:pPr>
            <w:r w:rsidRPr="000655AF">
              <w:t>President</w:t>
            </w:r>
          </w:p>
        </w:tc>
        <w:tc>
          <w:tcPr>
            <w:tcW w:w="6171" w:type="dxa"/>
          </w:tcPr>
          <w:p w:rsidR="002D7E84" w:rsidRPr="000655AF" w:rsidRDefault="00CC1F71">
            <w:pPr>
              <w:jc w:val="left"/>
            </w:pPr>
            <w:proofErr w:type="spellStart"/>
            <w:r w:rsidRPr="000655AF">
              <w:t>Mindaugas</w:t>
            </w:r>
            <w:proofErr w:type="spellEnd"/>
            <w:r w:rsidRPr="000655AF">
              <w:t xml:space="preserve"> MACIULEVIČIUS</w:t>
            </w:r>
            <w:r w:rsidR="002F7086" w:rsidRPr="000655AF">
              <w:t xml:space="preserve"> (LT-III)</w:t>
            </w:r>
          </w:p>
        </w:tc>
      </w:tr>
      <w:tr w:rsidR="002D7E84" w:rsidRPr="000655AF" w:rsidTr="00FD4504">
        <w:tc>
          <w:tcPr>
            <w:tcW w:w="3072" w:type="dxa"/>
          </w:tcPr>
          <w:p w:rsidR="002D7E84" w:rsidRPr="000655AF" w:rsidRDefault="002D7E84" w:rsidP="00FD4504">
            <w:pPr>
              <w:jc w:val="left"/>
            </w:pPr>
            <w:r w:rsidRPr="000655AF">
              <w:t>Rapporteur</w:t>
            </w:r>
          </w:p>
        </w:tc>
        <w:tc>
          <w:tcPr>
            <w:tcW w:w="6171" w:type="dxa"/>
          </w:tcPr>
          <w:p w:rsidR="002D7E84" w:rsidRPr="000655AF" w:rsidRDefault="00CC1F71" w:rsidP="00FD4504">
            <w:pPr>
              <w:jc w:val="left"/>
            </w:pPr>
            <w:r w:rsidRPr="000655AF">
              <w:t>Ulrich SAMM</w:t>
            </w:r>
            <w:r w:rsidR="002F7086" w:rsidRPr="000655AF">
              <w:t xml:space="preserve"> (DE-I) (Rule 62 – </w:t>
            </w:r>
            <w:r w:rsidR="00334DEF" w:rsidRPr="000655AF">
              <w:t>DITTMANN</w:t>
            </w:r>
            <w:r w:rsidR="002F7086" w:rsidRPr="000655AF">
              <w:t>)</w:t>
            </w:r>
          </w:p>
        </w:tc>
      </w:tr>
      <w:tr w:rsidR="002D7E84" w:rsidRPr="000655AF" w:rsidTr="00FD4504">
        <w:tc>
          <w:tcPr>
            <w:tcW w:w="3072" w:type="dxa"/>
          </w:tcPr>
          <w:p w:rsidR="002D7E84" w:rsidRPr="000655AF" w:rsidRDefault="002D7E84" w:rsidP="00FD4504">
            <w:pPr>
              <w:jc w:val="left"/>
            </w:pPr>
          </w:p>
        </w:tc>
        <w:tc>
          <w:tcPr>
            <w:tcW w:w="6171" w:type="dxa"/>
          </w:tcPr>
          <w:p w:rsidR="002D7E84" w:rsidRPr="000655AF" w:rsidRDefault="002D7E84" w:rsidP="00FD4504">
            <w:pPr>
              <w:jc w:val="left"/>
            </w:pPr>
          </w:p>
        </w:tc>
      </w:tr>
      <w:tr w:rsidR="002D7E84" w:rsidRPr="000655AF" w:rsidTr="00FD4504">
        <w:tc>
          <w:tcPr>
            <w:tcW w:w="3072" w:type="dxa"/>
          </w:tcPr>
          <w:p w:rsidR="002D7E84" w:rsidRPr="000655AF" w:rsidRDefault="002D7E84" w:rsidP="00FD4504">
            <w:pPr>
              <w:jc w:val="left"/>
            </w:pPr>
            <w:r w:rsidRPr="000655AF">
              <w:t>Members</w:t>
            </w:r>
          </w:p>
        </w:tc>
        <w:tc>
          <w:tcPr>
            <w:tcW w:w="6171" w:type="dxa"/>
          </w:tcPr>
          <w:p w:rsidR="002F7086" w:rsidRPr="000655AF" w:rsidRDefault="004F7506" w:rsidP="002F7086">
            <w:pPr>
              <w:jc w:val="left"/>
            </w:pPr>
            <w:proofErr w:type="spellStart"/>
            <w:r w:rsidRPr="000655AF">
              <w:t>Etele</w:t>
            </w:r>
            <w:proofErr w:type="spellEnd"/>
            <w:r w:rsidRPr="000655AF">
              <w:t xml:space="preserve"> BARÁTH</w:t>
            </w:r>
            <w:r w:rsidR="002F7086" w:rsidRPr="000655AF">
              <w:t xml:space="preserve"> (HU-III) (Rule 62 – </w:t>
            </w:r>
            <w:r w:rsidR="00334DEF" w:rsidRPr="000655AF">
              <w:t>FEDERSPIEL</w:t>
            </w:r>
            <w:r w:rsidR="002F7086" w:rsidRPr="000655AF">
              <w:t>)</w:t>
            </w:r>
          </w:p>
          <w:p w:rsidR="002F7086" w:rsidRPr="000655AF" w:rsidRDefault="004F7506" w:rsidP="002F7086">
            <w:pPr>
              <w:jc w:val="left"/>
            </w:pPr>
            <w:r w:rsidRPr="000655AF">
              <w:t xml:space="preserve">Miguel </w:t>
            </w:r>
            <w:proofErr w:type="spellStart"/>
            <w:r w:rsidRPr="000655AF">
              <w:t>Ángel</w:t>
            </w:r>
            <w:proofErr w:type="spellEnd"/>
            <w:r w:rsidRPr="000655AF">
              <w:t xml:space="preserve"> CABRA DE LUNA </w:t>
            </w:r>
            <w:r w:rsidR="002F7086" w:rsidRPr="000655AF">
              <w:t>(ES-III)</w:t>
            </w:r>
          </w:p>
          <w:p w:rsidR="002F7086" w:rsidRPr="000655AF" w:rsidRDefault="004F7506" w:rsidP="002F7086">
            <w:pPr>
              <w:jc w:val="left"/>
            </w:pPr>
            <w:r w:rsidRPr="000655AF">
              <w:t>Renate HEINISCH</w:t>
            </w:r>
            <w:r w:rsidR="002F7086" w:rsidRPr="000655AF">
              <w:t xml:space="preserve"> (DE-III)</w:t>
            </w:r>
          </w:p>
          <w:p w:rsidR="002F7086" w:rsidRPr="000655AF" w:rsidRDefault="004F7506" w:rsidP="002F7086">
            <w:pPr>
              <w:jc w:val="left"/>
            </w:pPr>
            <w:r w:rsidRPr="000655AF">
              <w:t>Günter LAMBERTZ</w:t>
            </w:r>
            <w:r w:rsidR="002F7086" w:rsidRPr="000655AF">
              <w:t xml:space="preserve"> (DE-I)</w:t>
            </w:r>
          </w:p>
          <w:p w:rsidR="002F7086" w:rsidRPr="000655AF" w:rsidRDefault="004F7506" w:rsidP="002F7086">
            <w:pPr>
              <w:jc w:val="left"/>
            </w:pPr>
            <w:r w:rsidRPr="000655AF">
              <w:t>Christophe LEFÈVRE</w:t>
            </w:r>
            <w:r w:rsidR="002F7086" w:rsidRPr="000655AF">
              <w:t xml:space="preserve"> (FR-II)</w:t>
            </w:r>
          </w:p>
          <w:p w:rsidR="002F7086" w:rsidRPr="000655AF" w:rsidRDefault="004F7506" w:rsidP="002F7086">
            <w:pPr>
              <w:jc w:val="left"/>
            </w:pPr>
            <w:proofErr w:type="spellStart"/>
            <w:r w:rsidRPr="000655AF">
              <w:t>Gonçalo</w:t>
            </w:r>
            <w:proofErr w:type="spellEnd"/>
            <w:r w:rsidRPr="000655AF">
              <w:t xml:space="preserve"> LOBO XAVIER</w:t>
            </w:r>
            <w:r w:rsidR="002F7086" w:rsidRPr="000655AF">
              <w:t xml:space="preserve"> (PT-I)</w:t>
            </w:r>
          </w:p>
          <w:p w:rsidR="002F7086" w:rsidRPr="000655AF" w:rsidRDefault="004F7506" w:rsidP="002F7086">
            <w:pPr>
              <w:jc w:val="left"/>
            </w:pPr>
            <w:proofErr w:type="spellStart"/>
            <w:r w:rsidRPr="000655AF">
              <w:t>Veselin</w:t>
            </w:r>
            <w:proofErr w:type="spellEnd"/>
            <w:r w:rsidRPr="000655AF">
              <w:t xml:space="preserve"> MITOV</w:t>
            </w:r>
            <w:r w:rsidR="002F7086" w:rsidRPr="000655AF">
              <w:t xml:space="preserve"> (BG-II)</w:t>
            </w:r>
          </w:p>
          <w:p w:rsidR="002F7086" w:rsidRPr="000655AF" w:rsidRDefault="004F7506" w:rsidP="002F7086">
            <w:pPr>
              <w:jc w:val="left"/>
            </w:pPr>
            <w:proofErr w:type="spellStart"/>
            <w:r w:rsidRPr="000655AF">
              <w:t>Catelijne</w:t>
            </w:r>
            <w:proofErr w:type="spellEnd"/>
            <w:r w:rsidRPr="000655AF">
              <w:t xml:space="preserve"> MULLER</w:t>
            </w:r>
            <w:r w:rsidR="002F7086" w:rsidRPr="000655AF">
              <w:t xml:space="preserve"> (NL-II)</w:t>
            </w:r>
          </w:p>
          <w:p w:rsidR="002F7086" w:rsidRPr="000655AF" w:rsidRDefault="004F7506" w:rsidP="002F7086">
            <w:pPr>
              <w:jc w:val="left"/>
            </w:pPr>
            <w:r w:rsidRPr="000655AF">
              <w:t>Stefano PALMIERI</w:t>
            </w:r>
            <w:r w:rsidR="002F7086" w:rsidRPr="000655AF">
              <w:t xml:space="preserve"> (IT-II)</w:t>
            </w:r>
          </w:p>
          <w:p w:rsidR="002F7086" w:rsidRPr="000655AF" w:rsidRDefault="004F7506" w:rsidP="002F7086">
            <w:pPr>
              <w:jc w:val="left"/>
            </w:pPr>
            <w:r w:rsidRPr="000655AF">
              <w:t>Adam ROGALEWSKI</w:t>
            </w:r>
            <w:r w:rsidR="002F7086" w:rsidRPr="000655AF">
              <w:t xml:space="preserve"> (PL-II)</w:t>
            </w:r>
          </w:p>
          <w:p w:rsidR="002F7086" w:rsidRPr="000655AF" w:rsidRDefault="004F7506" w:rsidP="002F7086">
            <w:pPr>
              <w:jc w:val="left"/>
            </w:pPr>
            <w:proofErr w:type="spellStart"/>
            <w:r w:rsidRPr="000655AF">
              <w:t>Ionuț</w:t>
            </w:r>
            <w:proofErr w:type="spellEnd"/>
            <w:r w:rsidRPr="000655AF">
              <w:t xml:space="preserve"> SIBIAN</w:t>
            </w:r>
            <w:r w:rsidR="002F7086" w:rsidRPr="000655AF">
              <w:t xml:space="preserve"> (RO-III) (Rule 62 – </w:t>
            </w:r>
            <w:r w:rsidR="00334DEF" w:rsidRPr="000655AF">
              <w:t>RODERT</w:t>
            </w:r>
            <w:r w:rsidR="002F7086" w:rsidRPr="000655AF">
              <w:t>)</w:t>
            </w:r>
          </w:p>
          <w:p w:rsidR="002F7086" w:rsidRPr="000655AF" w:rsidRDefault="004F7506" w:rsidP="002F7086">
            <w:pPr>
              <w:jc w:val="left"/>
            </w:pPr>
            <w:proofErr w:type="spellStart"/>
            <w:r w:rsidRPr="000655AF">
              <w:t>Gundars</w:t>
            </w:r>
            <w:proofErr w:type="spellEnd"/>
            <w:r w:rsidRPr="000655AF">
              <w:t xml:space="preserve"> STRAUTMANIS</w:t>
            </w:r>
            <w:r w:rsidR="002F7086" w:rsidRPr="000655AF">
              <w:t xml:space="preserve"> (LV-I) (Rule 62 – </w:t>
            </w:r>
            <w:r w:rsidR="00334DEF" w:rsidRPr="000655AF">
              <w:t>JONUŠKA</w:t>
            </w:r>
            <w:r w:rsidR="002F7086" w:rsidRPr="000655AF">
              <w:t>)</w:t>
            </w:r>
          </w:p>
          <w:p w:rsidR="002D7E84" w:rsidRPr="000655AF" w:rsidRDefault="004F7506" w:rsidP="002F7086">
            <w:pPr>
              <w:jc w:val="left"/>
            </w:pPr>
            <w:r w:rsidRPr="000655AF">
              <w:t xml:space="preserve">Marie </w:t>
            </w:r>
            <w:r w:rsidR="008C1CFB" w:rsidRPr="000655AF">
              <w:t xml:space="preserve">ZVOLSKÁ </w:t>
            </w:r>
            <w:r w:rsidR="002F7086" w:rsidRPr="000655AF">
              <w:t>(CZ-I)</w:t>
            </w:r>
            <w:r w:rsidR="002D7E84" w:rsidRPr="000655AF">
              <w:t xml:space="preserve"> </w:t>
            </w:r>
          </w:p>
          <w:p w:rsidR="002D7E84" w:rsidRPr="000655AF" w:rsidRDefault="002D7E84" w:rsidP="00FD4504">
            <w:pPr>
              <w:jc w:val="left"/>
            </w:pPr>
          </w:p>
        </w:tc>
      </w:tr>
      <w:tr w:rsidR="002D7E84" w:rsidRPr="000655AF" w:rsidTr="00FD4504">
        <w:tc>
          <w:tcPr>
            <w:tcW w:w="3072" w:type="dxa"/>
          </w:tcPr>
          <w:p w:rsidR="002D7E84" w:rsidRPr="000655AF" w:rsidRDefault="002D7E84" w:rsidP="00FD4504">
            <w:pPr>
              <w:jc w:val="left"/>
            </w:pPr>
            <w:r w:rsidRPr="000655AF">
              <w:t>Expert</w:t>
            </w:r>
          </w:p>
        </w:tc>
        <w:tc>
          <w:tcPr>
            <w:tcW w:w="6171" w:type="dxa"/>
          </w:tcPr>
          <w:p w:rsidR="002D7E84" w:rsidRPr="000655AF" w:rsidRDefault="00265DE7" w:rsidP="00FD4504">
            <w:pPr>
              <w:jc w:val="left"/>
            </w:pPr>
            <w:r w:rsidRPr="000655AF">
              <w:t xml:space="preserve">Annika </w:t>
            </w:r>
            <w:r w:rsidR="002F7086" w:rsidRPr="000655AF">
              <w:t>THIES</w:t>
            </w:r>
            <w:r w:rsidR="002D7E84" w:rsidRPr="000655AF">
              <w:t xml:space="preserve"> (for the rapporteur)</w:t>
            </w:r>
          </w:p>
        </w:tc>
      </w:tr>
    </w:tbl>
    <w:p w:rsidR="002D7E84" w:rsidRPr="000655AF" w:rsidRDefault="002D7E84" w:rsidP="002D7E84"/>
    <w:tbl>
      <w:tblPr>
        <w:tblW w:w="0" w:type="auto"/>
        <w:tblLook w:val="04A0" w:firstRow="1" w:lastRow="0" w:firstColumn="1" w:lastColumn="0" w:noHBand="0" w:noVBand="1"/>
      </w:tblPr>
      <w:tblGrid>
        <w:gridCol w:w="3079"/>
        <w:gridCol w:w="6164"/>
      </w:tblGrid>
      <w:tr w:rsidR="002D7E84" w:rsidRPr="000655AF" w:rsidTr="00FD4504">
        <w:tc>
          <w:tcPr>
            <w:tcW w:w="3079" w:type="dxa"/>
          </w:tcPr>
          <w:p w:rsidR="002D7E84" w:rsidRPr="000655AF" w:rsidRDefault="002D7E84" w:rsidP="0077555F">
            <w:pPr>
              <w:jc w:val="left"/>
            </w:pPr>
            <w:r w:rsidRPr="000655AF">
              <w:t xml:space="preserve">Consultation </w:t>
            </w:r>
          </w:p>
        </w:tc>
        <w:tc>
          <w:tcPr>
            <w:tcW w:w="6164" w:type="dxa"/>
          </w:tcPr>
          <w:p w:rsidR="002D7E84" w:rsidRPr="000655AF" w:rsidRDefault="0001074E" w:rsidP="00FD4504">
            <w:pPr>
              <w:jc w:val="left"/>
            </w:pPr>
            <w:r w:rsidRPr="000655AF">
              <w:t>Slovak presidency of the Council</w:t>
            </w:r>
            <w:r w:rsidR="002D7E84" w:rsidRPr="000655AF">
              <w:t>, 1</w:t>
            </w:r>
            <w:r w:rsidRPr="000655AF">
              <w:t>4</w:t>
            </w:r>
            <w:r w:rsidR="002D7E84" w:rsidRPr="000655AF">
              <w:t>/0</w:t>
            </w:r>
            <w:r w:rsidRPr="000655AF">
              <w:t>3</w:t>
            </w:r>
            <w:r w:rsidR="002D7E84" w:rsidRPr="000655AF">
              <w:t>/2016</w:t>
            </w:r>
          </w:p>
        </w:tc>
      </w:tr>
      <w:tr w:rsidR="002D7E84" w:rsidRPr="000655AF" w:rsidTr="00FD4504">
        <w:trPr>
          <w:trHeight w:val="251"/>
        </w:trPr>
        <w:tc>
          <w:tcPr>
            <w:tcW w:w="3079" w:type="dxa"/>
          </w:tcPr>
          <w:p w:rsidR="002D7E84" w:rsidRPr="000655AF" w:rsidRDefault="002D7E84" w:rsidP="00FD4504">
            <w:pPr>
              <w:jc w:val="left"/>
            </w:pPr>
            <w:r w:rsidRPr="000655AF">
              <w:t>Legal basis</w:t>
            </w:r>
          </w:p>
        </w:tc>
        <w:tc>
          <w:tcPr>
            <w:tcW w:w="6164" w:type="dxa"/>
          </w:tcPr>
          <w:p w:rsidR="002D7E84" w:rsidRPr="000655AF" w:rsidRDefault="002D7E84" w:rsidP="00FD4504">
            <w:pPr>
              <w:jc w:val="left"/>
            </w:pPr>
            <w:r w:rsidRPr="000655AF">
              <w:t xml:space="preserve">Article </w:t>
            </w:r>
            <w:r w:rsidR="0001074E" w:rsidRPr="000655AF">
              <w:t>30</w:t>
            </w:r>
            <w:r w:rsidRPr="000655AF">
              <w:t>4 of the Treaty on the Functioning of the European Union</w:t>
            </w:r>
          </w:p>
        </w:tc>
      </w:tr>
      <w:tr w:rsidR="002D7E84" w:rsidRPr="000655AF" w:rsidTr="00FD4504">
        <w:tc>
          <w:tcPr>
            <w:tcW w:w="3079" w:type="dxa"/>
          </w:tcPr>
          <w:p w:rsidR="002D7E84" w:rsidRPr="000655AF" w:rsidRDefault="002D7E84" w:rsidP="00FD4504">
            <w:pPr>
              <w:jc w:val="left"/>
            </w:pPr>
          </w:p>
        </w:tc>
        <w:tc>
          <w:tcPr>
            <w:tcW w:w="6164" w:type="dxa"/>
          </w:tcPr>
          <w:p w:rsidR="002D7E84" w:rsidRPr="000655AF" w:rsidRDefault="002D7E84" w:rsidP="00FD4504">
            <w:pPr>
              <w:jc w:val="left"/>
            </w:pPr>
          </w:p>
        </w:tc>
      </w:tr>
      <w:tr w:rsidR="002D7E84" w:rsidRPr="000655AF" w:rsidTr="00FD4504">
        <w:tc>
          <w:tcPr>
            <w:tcW w:w="3079" w:type="dxa"/>
          </w:tcPr>
          <w:p w:rsidR="002D7E84" w:rsidRPr="000655AF" w:rsidRDefault="002D7E84" w:rsidP="00FD4504">
            <w:pPr>
              <w:jc w:val="left"/>
            </w:pPr>
            <w:r w:rsidRPr="000655AF">
              <w:t>Section responsible</w:t>
            </w:r>
          </w:p>
        </w:tc>
        <w:tc>
          <w:tcPr>
            <w:tcW w:w="6164" w:type="dxa"/>
          </w:tcPr>
          <w:p w:rsidR="002D7E84" w:rsidRPr="000655AF" w:rsidRDefault="002D7E84" w:rsidP="00FD4504">
            <w:pPr>
              <w:jc w:val="left"/>
            </w:pPr>
            <w:r w:rsidRPr="000655AF">
              <w:t>Single Market, Production and Consumption</w:t>
            </w:r>
          </w:p>
        </w:tc>
      </w:tr>
      <w:tr w:rsidR="002D7E84" w:rsidRPr="000655AF" w:rsidTr="00FD4504">
        <w:tc>
          <w:tcPr>
            <w:tcW w:w="3079" w:type="dxa"/>
          </w:tcPr>
          <w:p w:rsidR="002D7E84" w:rsidRPr="000655AF" w:rsidRDefault="002D7E84" w:rsidP="00FD4504">
            <w:pPr>
              <w:jc w:val="left"/>
            </w:pPr>
            <w:r w:rsidRPr="000655AF">
              <w:t>Adopted in section</w:t>
            </w:r>
          </w:p>
        </w:tc>
        <w:tc>
          <w:tcPr>
            <w:tcW w:w="6164" w:type="dxa"/>
          </w:tcPr>
          <w:p w:rsidR="002D7E84" w:rsidRPr="000655AF" w:rsidRDefault="002D7E84" w:rsidP="00FD4504">
            <w:pPr>
              <w:jc w:val="left"/>
            </w:pPr>
            <w:r w:rsidRPr="000655AF">
              <w:t>DD/MM/YYYY</w:t>
            </w:r>
          </w:p>
        </w:tc>
      </w:tr>
      <w:tr w:rsidR="002D7E84" w:rsidRPr="000655AF" w:rsidTr="00FD4504">
        <w:tc>
          <w:tcPr>
            <w:tcW w:w="3079" w:type="dxa"/>
          </w:tcPr>
          <w:p w:rsidR="002D7E84" w:rsidRPr="000655AF" w:rsidRDefault="002D7E84" w:rsidP="00FD4504">
            <w:pPr>
              <w:jc w:val="left"/>
            </w:pPr>
            <w:r w:rsidRPr="000655AF">
              <w:t>Adopted at plenary</w:t>
            </w:r>
          </w:p>
        </w:tc>
        <w:tc>
          <w:tcPr>
            <w:tcW w:w="6164" w:type="dxa"/>
          </w:tcPr>
          <w:p w:rsidR="002D7E84" w:rsidRPr="000655AF" w:rsidRDefault="002D7E84" w:rsidP="00FD4504">
            <w:pPr>
              <w:jc w:val="left"/>
            </w:pPr>
            <w:r w:rsidRPr="000655AF">
              <w:t>DD/MM/YYYY</w:t>
            </w:r>
          </w:p>
        </w:tc>
      </w:tr>
      <w:tr w:rsidR="002D7E84" w:rsidRPr="000655AF" w:rsidTr="00FD4504">
        <w:tc>
          <w:tcPr>
            <w:tcW w:w="3079" w:type="dxa"/>
          </w:tcPr>
          <w:p w:rsidR="002D7E84" w:rsidRPr="000655AF" w:rsidRDefault="002D7E84" w:rsidP="00FD4504">
            <w:pPr>
              <w:jc w:val="left"/>
            </w:pPr>
            <w:r w:rsidRPr="000655AF">
              <w:t>Plenary session No</w:t>
            </w:r>
          </w:p>
        </w:tc>
        <w:tc>
          <w:tcPr>
            <w:tcW w:w="6164" w:type="dxa"/>
          </w:tcPr>
          <w:p w:rsidR="002D7E84" w:rsidRPr="000655AF" w:rsidRDefault="002D7E84" w:rsidP="00FD4504">
            <w:pPr>
              <w:jc w:val="left"/>
            </w:pPr>
            <w:r w:rsidRPr="000655AF">
              <w:t>…</w:t>
            </w:r>
          </w:p>
        </w:tc>
      </w:tr>
      <w:tr w:rsidR="002D7E84" w:rsidRPr="000655AF" w:rsidTr="00FD4504">
        <w:tc>
          <w:tcPr>
            <w:tcW w:w="3079" w:type="dxa"/>
          </w:tcPr>
          <w:p w:rsidR="002D7E84" w:rsidRPr="000655AF" w:rsidRDefault="002D7E84" w:rsidP="00FD4504">
            <w:pPr>
              <w:jc w:val="left"/>
            </w:pPr>
            <w:r w:rsidRPr="000655AF">
              <w:t>Outcome of vote</w:t>
            </w:r>
            <w:r w:rsidRPr="000655AF">
              <w:br/>
              <w:t>(for/against/abstentions)</w:t>
            </w:r>
          </w:p>
        </w:tc>
        <w:tc>
          <w:tcPr>
            <w:tcW w:w="6164" w:type="dxa"/>
            <w:vAlign w:val="bottom"/>
          </w:tcPr>
          <w:p w:rsidR="002D7E84" w:rsidRPr="000655AF" w:rsidRDefault="002D7E84" w:rsidP="00FD4504">
            <w:pPr>
              <w:jc w:val="left"/>
            </w:pPr>
            <w:r w:rsidRPr="000655AF">
              <w:t>…/…/…</w:t>
            </w:r>
          </w:p>
        </w:tc>
      </w:tr>
    </w:tbl>
    <w:p w:rsidR="002D7E84" w:rsidRPr="000655AF" w:rsidRDefault="002D7E84" w:rsidP="00E55084"/>
    <w:p w:rsidR="00E62B6F" w:rsidRPr="000655AF" w:rsidRDefault="00E62B6F">
      <w:pPr>
        <w:spacing w:line="240" w:lineRule="auto"/>
        <w:jc w:val="left"/>
      </w:pPr>
      <w:r w:rsidRPr="000655AF">
        <w:br w:type="page"/>
      </w:r>
    </w:p>
    <w:p w:rsidR="00102469" w:rsidRPr="000655AF" w:rsidRDefault="00102469" w:rsidP="00BB172B">
      <w:pPr>
        <w:pStyle w:val="Naslov1"/>
        <w:ind w:left="567" w:hanging="567"/>
      </w:pPr>
      <w:r w:rsidRPr="000655AF">
        <w:rPr>
          <w:b/>
        </w:rPr>
        <w:lastRenderedPageBreak/>
        <w:t>Conclusions and recommendations</w:t>
      </w:r>
    </w:p>
    <w:p w:rsidR="00675D10" w:rsidRPr="000655AF" w:rsidRDefault="00675D10"/>
    <w:p w:rsidR="00FC66CB" w:rsidRPr="000655AF" w:rsidRDefault="00FC66CB" w:rsidP="00BB172B">
      <w:pPr>
        <w:pStyle w:val="Naslov2"/>
        <w:ind w:left="567" w:hanging="567"/>
      </w:pPr>
      <w:r w:rsidRPr="000655AF">
        <w:t xml:space="preserve">The EESC welcomes Horizon 2020 as a strong and successful programme that brings together </w:t>
      </w:r>
      <w:r w:rsidRPr="00823840">
        <w:rPr>
          <w:highlight w:val="yellow"/>
        </w:rPr>
        <w:t>excellence</w:t>
      </w:r>
      <w:r w:rsidRPr="000655AF">
        <w:t xml:space="preserve">, </w:t>
      </w:r>
      <w:r w:rsidRPr="00823840">
        <w:rPr>
          <w:highlight w:val="yellow"/>
        </w:rPr>
        <w:t>joint research infrastructures</w:t>
      </w:r>
      <w:r w:rsidRPr="000655AF">
        <w:t xml:space="preserve">, </w:t>
      </w:r>
      <w:r w:rsidRPr="00823840">
        <w:rPr>
          <w:highlight w:val="yellow"/>
        </w:rPr>
        <w:t>collaboration across borders</w:t>
      </w:r>
      <w:r w:rsidRPr="000655AF">
        <w:t xml:space="preserve"> as well as synergies between academia, industry, SMEs and research organisations.</w:t>
      </w:r>
    </w:p>
    <w:p w:rsidR="00FC66CB" w:rsidRPr="000655AF" w:rsidRDefault="00FC66CB" w:rsidP="008C1CFB">
      <w:pPr>
        <w:ind w:left="567"/>
      </w:pPr>
    </w:p>
    <w:p w:rsidR="00FC66CB" w:rsidRPr="000655AF" w:rsidRDefault="00FC66CB" w:rsidP="00BB172B">
      <w:pPr>
        <w:pStyle w:val="Naslov2"/>
        <w:ind w:left="567" w:hanging="567"/>
      </w:pPr>
      <w:r w:rsidRPr="000655AF">
        <w:t>Horizon 2020 is a key policy instrument for impleme</w:t>
      </w:r>
      <w:r w:rsidR="00856914" w:rsidRPr="000655AF">
        <w:t xml:space="preserve">nting the Europe 2020 strategy </w:t>
      </w:r>
      <w:r w:rsidR="00D13361" w:rsidRPr="000655AF">
        <w:t>"</w:t>
      </w:r>
      <w:r w:rsidRPr="000655AF">
        <w:t xml:space="preserve">to contribute to sustainable European economic growth and competitiveness by </w:t>
      </w:r>
      <w:r w:rsidRPr="00F7252E">
        <w:rPr>
          <w:highlight w:val="yellow"/>
        </w:rPr>
        <w:t xml:space="preserve">reinforcing the </w:t>
      </w:r>
      <w:r w:rsidRPr="00823840">
        <w:rPr>
          <w:highlight w:val="cyan"/>
        </w:rPr>
        <w:t xml:space="preserve">innovation </w:t>
      </w:r>
      <w:r w:rsidRPr="00F7252E">
        <w:rPr>
          <w:highlight w:val="yellow"/>
        </w:rPr>
        <w:t>capacity</w:t>
      </w:r>
      <w:r w:rsidRPr="000655AF">
        <w:t xml:space="preserve"> of the Member States and the Union in order to address major chall</w:t>
      </w:r>
      <w:r w:rsidR="00856914" w:rsidRPr="000655AF">
        <w:t>enges faced by European society</w:t>
      </w:r>
      <w:r w:rsidR="00D13361" w:rsidRPr="000655AF">
        <w:t>"</w:t>
      </w:r>
      <w:r w:rsidRPr="000655AF">
        <w:t>.</w:t>
      </w:r>
    </w:p>
    <w:p w:rsidR="00FC66CB" w:rsidRPr="000655AF" w:rsidRDefault="00FC66CB" w:rsidP="008C1CFB">
      <w:pPr>
        <w:ind w:left="567"/>
      </w:pPr>
    </w:p>
    <w:p w:rsidR="00FC66CB" w:rsidRPr="000655AF" w:rsidRDefault="00FC66CB" w:rsidP="00BB172B">
      <w:pPr>
        <w:pStyle w:val="Naslov2"/>
        <w:ind w:left="567" w:hanging="567"/>
      </w:pPr>
      <w:r w:rsidRPr="000655AF">
        <w:t>The EESC therefor</w:t>
      </w:r>
      <w:r w:rsidR="00856914" w:rsidRPr="000655AF">
        <w:t>e</w:t>
      </w:r>
      <w:r w:rsidRPr="000655AF">
        <w:t xml:space="preserve">, in line with the </w:t>
      </w:r>
      <w:r w:rsidRPr="00823840">
        <w:rPr>
          <w:highlight w:val="yellow"/>
        </w:rPr>
        <w:t>European Parliament's research committee</w:t>
      </w:r>
      <w:r w:rsidRPr="000655AF">
        <w:t xml:space="preserve"> (ITRE), </w:t>
      </w:r>
      <w:r w:rsidRPr="00823840">
        <w:rPr>
          <w:highlight w:val="yellow"/>
        </w:rPr>
        <w:t>calls</w:t>
      </w:r>
      <w:r w:rsidRPr="000655AF">
        <w:t xml:space="preserve"> </w:t>
      </w:r>
      <w:r w:rsidRPr="00823840">
        <w:rPr>
          <w:highlight w:val="yellow"/>
        </w:rPr>
        <w:t>for EUR</w:t>
      </w:r>
      <w:r w:rsidR="00D13361" w:rsidRPr="00823840">
        <w:rPr>
          <w:highlight w:val="yellow"/>
        </w:rPr>
        <w:t> </w:t>
      </w:r>
      <w:r w:rsidRPr="00823840">
        <w:rPr>
          <w:highlight w:val="yellow"/>
        </w:rPr>
        <w:t>2.2</w:t>
      </w:r>
      <w:r w:rsidR="00D13361" w:rsidRPr="00823840">
        <w:rPr>
          <w:highlight w:val="yellow"/>
        </w:rPr>
        <w:t> </w:t>
      </w:r>
      <w:proofErr w:type="gramStart"/>
      <w:r w:rsidRPr="00823840">
        <w:rPr>
          <w:highlight w:val="yellow"/>
        </w:rPr>
        <w:t>billion</w:t>
      </w:r>
      <w:proofErr w:type="gramEnd"/>
      <w:r w:rsidRPr="00823840">
        <w:rPr>
          <w:highlight w:val="yellow"/>
        </w:rPr>
        <w:t xml:space="preserve"> to be </w:t>
      </w:r>
      <w:r w:rsidRPr="00823840">
        <w:rPr>
          <w:highlight w:val="cyan"/>
        </w:rPr>
        <w:t xml:space="preserve">restored </w:t>
      </w:r>
      <w:r w:rsidRPr="00823840">
        <w:rPr>
          <w:highlight w:val="yellow"/>
        </w:rPr>
        <w:t xml:space="preserve">from the </w:t>
      </w:r>
      <w:r w:rsidR="00AE10F3" w:rsidRPr="00823840">
        <w:rPr>
          <w:highlight w:val="yellow"/>
        </w:rPr>
        <w:t>European Fund for Strategic Investments (</w:t>
      </w:r>
      <w:r w:rsidRPr="00823840">
        <w:rPr>
          <w:highlight w:val="yellow"/>
        </w:rPr>
        <w:t>EFSI</w:t>
      </w:r>
      <w:r w:rsidR="00E35173" w:rsidRPr="00823840">
        <w:rPr>
          <w:highlight w:val="yellow"/>
        </w:rPr>
        <w:t>)</w:t>
      </w:r>
      <w:r w:rsidR="00E35173" w:rsidRPr="000655AF">
        <w:t xml:space="preserve"> back</w:t>
      </w:r>
      <w:r w:rsidRPr="000655AF">
        <w:t xml:space="preserve"> to the EU's Horizon 2020 research and innovation programme. </w:t>
      </w:r>
    </w:p>
    <w:p w:rsidR="00FC66CB" w:rsidRPr="000655AF" w:rsidRDefault="00FC66CB" w:rsidP="008C1CFB">
      <w:pPr>
        <w:ind w:left="567"/>
      </w:pPr>
    </w:p>
    <w:p w:rsidR="00FC66CB" w:rsidRPr="000655AF" w:rsidRDefault="00FC66CB" w:rsidP="00BB172B">
      <w:pPr>
        <w:pStyle w:val="Naslov2"/>
        <w:ind w:left="567" w:hanging="567"/>
      </w:pPr>
      <w:r w:rsidRPr="000655AF">
        <w:t xml:space="preserve">The EESC welcomes the fact that innovation </w:t>
      </w:r>
      <w:r w:rsidR="00D9313A" w:rsidRPr="000655AF">
        <w:t>carries</w:t>
      </w:r>
      <w:r w:rsidRPr="000655AF">
        <w:t xml:space="preserve"> more weight in </w:t>
      </w:r>
      <w:r w:rsidR="00942A0B" w:rsidRPr="000655AF">
        <w:t xml:space="preserve">the </w:t>
      </w:r>
      <w:r w:rsidRPr="000655AF">
        <w:t>Horizon 2020</w:t>
      </w:r>
      <w:r w:rsidR="00942A0B" w:rsidRPr="000655AF">
        <w:t xml:space="preserve"> programme</w:t>
      </w:r>
      <w:r w:rsidRPr="000655AF">
        <w:t xml:space="preserve">. Innovation is key to economic growth. The newly introduced SME instrument is a positive example </w:t>
      </w:r>
      <w:r w:rsidR="00942A0B" w:rsidRPr="000655AF">
        <w:t>of</w:t>
      </w:r>
      <w:r w:rsidRPr="000655AF">
        <w:t xml:space="preserve"> </w:t>
      </w:r>
      <w:r w:rsidR="00942A0B" w:rsidRPr="000655AF">
        <w:t>an</w:t>
      </w:r>
      <w:r w:rsidRPr="000655AF">
        <w:t xml:space="preserve"> efficient application, selection and monitoring process. </w:t>
      </w:r>
    </w:p>
    <w:p w:rsidR="00FC66CB" w:rsidRPr="000655AF" w:rsidRDefault="00FC66CB">
      <w:pPr>
        <w:ind w:left="720"/>
      </w:pPr>
    </w:p>
    <w:p w:rsidR="00FC66CB" w:rsidRPr="000655AF" w:rsidRDefault="00FC66CB" w:rsidP="00BB172B">
      <w:pPr>
        <w:pStyle w:val="Naslov2"/>
        <w:ind w:left="567" w:hanging="567"/>
      </w:pPr>
      <w:r w:rsidRPr="00823840">
        <w:rPr>
          <w:highlight w:val="yellow"/>
        </w:rPr>
        <w:t xml:space="preserve">Funding of </w:t>
      </w:r>
      <w:r w:rsidRPr="00823840">
        <w:rPr>
          <w:highlight w:val="cyan"/>
        </w:rPr>
        <w:t xml:space="preserve">basic research </w:t>
      </w:r>
      <w:r w:rsidRPr="00823840">
        <w:rPr>
          <w:highlight w:val="yellow"/>
        </w:rPr>
        <w:t>is extremely successful</w:t>
      </w:r>
      <w:r w:rsidRPr="000655AF">
        <w:t>. The ERC grants</w:t>
      </w:r>
      <w:r w:rsidR="00942A0B" w:rsidRPr="000655AF">
        <w:t xml:space="preserve"> </w:t>
      </w:r>
      <w:r w:rsidRPr="000655AF">
        <w:t xml:space="preserve">in particular </w:t>
      </w:r>
      <w:proofErr w:type="gramStart"/>
      <w:r w:rsidRPr="000655AF">
        <w:t>are held</w:t>
      </w:r>
      <w:proofErr w:type="gramEnd"/>
      <w:r w:rsidRPr="000655AF">
        <w:t xml:space="preserve"> in high esteem: they are viewed as high-level awards for individual researchers, and function as a Europe-wide benchmark.</w:t>
      </w:r>
    </w:p>
    <w:p w:rsidR="00FC66CB" w:rsidRPr="000655AF" w:rsidRDefault="00FC66CB" w:rsidP="008C1CFB">
      <w:pPr>
        <w:ind w:left="567"/>
      </w:pPr>
    </w:p>
    <w:p w:rsidR="00FC66CB" w:rsidRPr="000655AF" w:rsidRDefault="00FC66CB" w:rsidP="00BB172B">
      <w:pPr>
        <w:pStyle w:val="Naslov2"/>
        <w:ind w:left="567" w:hanging="567"/>
      </w:pPr>
      <w:r w:rsidRPr="000655AF">
        <w:t xml:space="preserve">The EESC is worried that </w:t>
      </w:r>
      <w:r w:rsidRPr="007B6C67">
        <w:rPr>
          <w:highlight w:val="cyan"/>
        </w:rPr>
        <w:t xml:space="preserve">funding </w:t>
      </w:r>
      <w:r w:rsidR="00942A0B" w:rsidRPr="007B6C67">
        <w:rPr>
          <w:highlight w:val="yellow"/>
        </w:rPr>
        <w:t>for</w:t>
      </w:r>
      <w:r w:rsidRPr="007B6C67">
        <w:rPr>
          <w:highlight w:val="yellow"/>
        </w:rPr>
        <w:t xml:space="preserve"> research</w:t>
      </w:r>
      <w:r w:rsidRPr="000655AF">
        <w:t xml:space="preserve"> </w:t>
      </w:r>
      <w:r w:rsidR="00942A0B" w:rsidRPr="000655AF">
        <w:t>into</w:t>
      </w:r>
      <w:r w:rsidRPr="000655AF">
        <w:t xml:space="preserve"> </w:t>
      </w:r>
      <w:r w:rsidR="00782FDC" w:rsidRPr="000655AF">
        <w:t>S</w:t>
      </w:r>
      <w:r w:rsidRPr="000655AF">
        <w:t xml:space="preserve">ocietal </w:t>
      </w:r>
      <w:r w:rsidR="00782FDC" w:rsidRPr="000655AF">
        <w:t>C</w:t>
      </w:r>
      <w:r w:rsidRPr="000655AF">
        <w:t xml:space="preserve">hallenges </w:t>
      </w:r>
      <w:proofErr w:type="gramStart"/>
      <w:r w:rsidRPr="000655AF">
        <w:t xml:space="preserve">has been significantly </w:t>
      </w:r>
      <w:r w:rsidRPr="007B6C67">
        <w:rPr>
          <w:highlight w:val="yellow"/>
        </w:rPr>
        <w:t>reduced</w:t>
      </w:r>
      <w:proofErr w:type="gramEnd"/>
      <w:r w:rsidRPr="000655AF">
        <w:t xml:space="preserve">. Many success stories of EU-wide research collaboration from FP6 and FP7 ended with Horizon 2020. </w:t>
      </w:r>
      <w:r w:rsidRPr="007B6C67">
        <w:rPr>
          <w:highlight w:val="yellow"/>
        </w:rPr>
        <w:t>Collaborative research</w:t>
      </w:r>
      <w:r w:rsidRPr="000655AF">
        <w:t xml:space="preserve"> </w:t>
      </w:r>
      <w:r w:rsidR="003E2171" w:rsidRPr="000655AF">
        <w:t xml:space="preserve">should once again play a </w:t>
      </w:r>
      <w:r w:rsidRPr="000655AF">
        <w:t xml:space="preserve">role as an indispensable element in </w:t>
      </w:r>
      <w:r w:rsidRPr="007B6C67">
        <w:rPr>
          <w:highlight w:val="yellow"/>
        </w:rPr>
        <w:t>the research and innovation chain</w:t>
      </w:r>
      <w:r w:rsidRPr="000655AF">
        <w:t>.</w:t>
      </w:r>
    </w:p>
    <w:p w:rsidR="00C0652E" w:rsidRPr="000655AF" w:rsidRDefault="00C0652E" w:rsidP="008C1CFB">
      <w:pPr>
        <w:ind w:left="1134" w:hanging="567"/>
      </w:pPr>
    </w:p>
    <w:p w:rsidR="00FC66CB" w:rsidRPr="000655AF" w:rsidRDefault="00FC66CB" w:rsidP="00BB172B">
      <w:pPr>
        <w:pStyle w:val="Naslov2"/>
        <w:ind w:left="567" w:hanging="567"/>
      </w:pPr>
      <w:r w:rsidRPr="000655AF">
        <w:t xml:space="preserve">The EESC calls for a careful evaluation to find a reasonable balance between the </w:t>
      </w:r>
      <w:r w:rsidRPr="007B6C67">
        <w:rPr>
          <w:highlight w:val="yellow"/>
        </w:rPr>
        <w:t>three funding</w:t>
      </w:r>
      <w:r w:rsidRPr="000655AF">
        <w:t xml:space="preserve"> </w:t>
      </w:r>
      <w:r w:rsidRPr="007B6C67">
        <w:rPr>
          <w:highlight w:val="yellow"/>
        </w:rPr>
        <w:t>pillars</w:t>
      </w:r>
      <w:r w:rsidR="003E2171" w:rsidRPr="000655AF">
        <w:t xml:space="preserve">: </w:t>
      </w:r>
      <w:r w:rsidRPr="000655AF">
        <w:t>Excellent Science, Industrial Leadership and Societal Challenges</w:t>
      </w:r>
      <w:r w:rsidR="003E2171" w:rsidRPr="000655AF">
        <w:t>.</w:t>
      </w:r>
      <w:r w:rsidRPr="000655AF">
        <w:t xml:space="preserve"> </w:t>
      </w:r>
      <w:r w:rsidR="003E2171" w:rsidRPr="000655AF">
        <w:t>This evaluation should take</w:t>
      </w:r>
      <w:r w:rsidRPr="000655AF">
        <w:t xml:space="preserve"> into account their differences in terms of impact, lead times, </w:t>
      </w:r>
      <w:proofErr w:type="gramStart"/>
      <w:r w:rsidRPr="000655AF">
        <w:t>leverage</w:t>
      </w:r>
      <w:proofErr w:type="gramEnd"/>
      <w:r w:rsidRPr="000655AF">
        <w:t xml:space="preserve"> effects and, in particular, their specific EU added values. </w:t>
      </w:r>
    </w:p>
    <w:p w:rsidR="00FC66CB" w:rsidRPr="000655AF" w:rsidRDefault="00FC66CB" w:rsidP="008C1CFB">
      <w:pPr>
        <w:ind w:left="567"/>
      </w:pPr>
    </w:p>
    <w:p w:rsidR="00FC66CB" w:rsidRPr="000655AF" w:rsidRDefault="00FC66CB" w:rsidP="00BB172B">
      <w:pPr>
        <w:pStyle w:val="Naslov2"/>
        <w:ind w:left="567" w:hanging="567"/>
      </w:pPr>
      <w:r w:rsidRPr="000655AF">
        <w:t>The European Union needs to provide well-balanced support for the whole research and innovation chain, from fundamental to product-driven research.</w:t>
      </w:r>
    </w:p>
    <w:p w:rsidR="00F4527D" w:rsidRPr="000655AF" w:rsidRDefault="00F4527D" w:rsidP="008C1CFB">
      <w:pPr>
        <w:ind w:left="567"/>
      </w:pPr>
    </w:p>
    <w:p w:rsidR="00F4527D" w:rsidRPr="000655AF" w:rsidRDefault="00F4527D" w:rsidP="00BB172B">
      <w:pPr>
        <w:pStyle w:val="Naslov2"/>
        <w:ind w:left="567" w:hanging="567"/>
      </w:pPr>
      <w:r w:rsidRPr="000655AF">
        <w:t xml:space="preserve">The EESC also emphasises that </w:t>
      </w:r>
      <w:r w:rsidRPr="00311D45">
        <w:rPr>
          <w:highlight w:val="cyan"/>
        </w:rPr>
        <w:t>social sciences and humanities</w:t>
      </w:r>
      <w:r w:rsidRPr="000655AF">
        <w:t xml:space="preserve"> have to play a key role in </w:t>
      </w:r>
      <w:r w:rsidRPr="00311D45">
        <w:rPr>
          <w:highlight w:val="yellow"/>
        </w:rPr>
        <w:t xml:space="preserve">analysing and </w:t>
      </w:r>
      <w:r w:rsidRPr="00311D45">
        <w:rPr>
          <w:highlight w:val="cyan"/>
        </w:rPr>
        <w:t>predicting</w:t>
      </w:r>
      <w:r w:rsidRPr="00311D45">
        <w:rPr>
          <w:highlight w:val="yellow"/>
        </w:rPr>
        <w:t xml:space="preserve"> the societal</w:t>
      </w:r>
      <w:r w:rsidR="007B7E55" w:rsidRPr="00311D45">
        <w:rPr>
          <w:highlight w:val="yellow"/>
        </w:rPr>
        <w:t xml:space="preserve"> developments</w:t>
      </w:r>
      <w:r w:rsidR="007B7E55" w:rsidRPr="000655AF">
        <w:t xml:space="preserve"> caused by changes in</w:t>
      </w:r>
      <w:r w:rsidRPr="000655AF">
        <w:t xml:space="preserve"> worki</w:t>
      </w:r>
      <w:r w:rsidR="007B7E55" w:rsidRPr="000655AF">
        <w:t xml:space="preserve">ng and living conditions </w:t>
      </w:r>
      <w:r w:rsidR="007B7E55" w:rsidRPr="00311D45">
        <w:rPr>
          <w:highlight w:val="cyan"/>
        </w:rPr>
        <w:t>resulting from</w:t>
      </w:r>
      <w:r w:rsidR="00A97FCD" w:rsidRPr="000655AF">
        <w:t xml:space="preserve"> </w:t>
      </w:r>
      <w:r w:rsidR="00A97FCD" w:rsidRPr="00311D45">
        <w:rPr>
          <w:highlight w:val="yellow"/>
        </w:rPr>
        <w:t>demographic change, globalis</w:t>
      </w:r>
      <w:r w:rsidRPr="00311D45">
        <w:rPr>
          <w:highlight w:val="yellow"/>
        </w:rPr>
        <w:t>ation, climate change, emerging technologie</w:t>
      </w:r>
      <w:r w:rsidR="00E61CAB" w:rsidRPr="00311D45">
        <w:rPr>
          <w:highlight w:val="yellow"/>
        </w:rPr>
        <w:t>s, digitalis</w:t>
      </w:r>
      <w:r w:rsidRPr="00311D45">
        <w:rPr>
          <w:highlight w:val="yellow"/>
        </w:rPr>
        <w:t>a</w:t>
      </w:r>
      <w:r w:rsidR="00273EFD" w:rsidRPr="00311D45">
        <w:rPr>
          <w:highlight w:val="yellow"/>
        </w:rPr>
        <w:t>tion and education for new high-</w:t>
      </w:r>
      <w:r w:rsidRPr="00311D45">
        <w:rPr>
          <w:highlight w:val="yellow"/>
        </w:rPr>
        <w:t>quality jobs</w:t>
      </w:r>
      <w:r w:rsidRPr="000655AF">
        <w:t>.</w:t>
      </w:r>
    </w:p>
    <w:p w:rsidR="00FC66CB" w:rsidRPr="000655AF" w:rsidRDefault="00FC66CB" w:rsidP="008C1CFB">
      <w:pPr>
        <w:ind w:left="567"/>
      </w:pPr>
    </w:p>
    <w:p w:rsidR="00FC66CB" w:rsidRPr="000655AF" w:rsidRDefault="00FC66CB" w:rsidP="00BB172B">
      <w:pPr>
        <w:pStyle w:val="Naslov2"/>
        <w:ind w:left="567" w:hanging="567"/>
      </w:pPr>
      <w:r w:rsidRPr="000655AF">
        <w:t xml:space="preserve">The EESC </w:t>
      </w:r>
      <w:r w:rsidR="005115F1" w:rsidRPr="000655AF">
        <w:t>is following</w:t>
      </w:r>
      <w:r w:rsidR="00F4527D" w:rsidRPr="000655AF">
        <w:t xml:space="preserve"> with great interest</w:t>
      </w:r>
      <w:r w:rsidRPr="000655AF">
        <w:t xml:space="preserve"> the performance of the </w:t>
      </w:r>
      <w:r w:rsidRPr="00311D45">
        <w:rPr>
          <w:highlight w:val="cyan"/>
        </w:rPr>
        <w:t>European Institute of Innovation and Technology (EIT)</w:t>
      </w:r>
      <w:r w:rsidRPr="000655AF">
        <w:t xml:space="preserve"> </w:t>
      </w:r>
      <w:r w:rsidR="00B76DA0" w:rsidRPr="000655AF">
        <w:t>and the recommendations i</w:t>
      </w:r>
      <w:r w:rsidR="00FA672C" w:rsidRPr="000655AF">
        <w:t>ss</w:t>
      </w:r>
      <w:r w:rsidR="00B76DA0" w:rsidRPr="000655AF">
        <w:t>u</w:t>
      </w:r>
      <w:r w:rsidR="00FA672C" w:rsidRPr="000655AF">
        <w:t>ed by</w:t>
      </w:r>
      <w:r w:rsidRPr="000655AF">
        <w:t xml:space="preserve"> the Court of Auditors. </w:t>
      </w:r>
      <w:r w:rsidR="00B76DA0" w:rsidRPr="000655AF">
        <w:t xml:space="preserve">We expect </w:t>
      </w:r>
      <w:r w:rsidR="00794B79" w:rsidRPr="000655AF">
        <w:t>t</w:t>
      </w:r>
      <w:r w:rsidRPr="000655AF">
        <w:t xml:space="preserve">he interim evaluation </w:t>
      </w:r>
      <w:r w:rsidR="00B76DA0" w:rsidRPr="000655AF">
        <w:t>to lead to</w:t>
      </w:r>
      <w:r w:rsidRPr="000655AF">
        <w:t xml:space="preserve"> consider</w:t>
      </w:r>
      <w:r w:rsidR="00794B79" w:rsidRPr="000655AF">
        <w:t>able</w:t>
      </w:r>
      <w:r w:rsidRPr="000655AF">
        <w:t xml:space="preserve"> improvements </w:t>
      </w:r>
      <w:r w:rsidR="0011596B" w:rsidRPr="000655AF">
        <w:t>in</w:t>
      </w:r>
      <w:r w:rsidRPr="000655AF">
        <w:t xml:space="preserve"> the EIT. </w:t>
      </w:r>
    </w:p>
    <w:p w:rsidR="00FC66CB" w:rsidRPr="000655AF" w:rsidRDefault="00FC66CB" w:rsidP="008C1CFB">
      <w:pPr>
        <w:ind w:left="567"/>
      </w:pPr>
    </w:p>
    <w:p w:rsidR="00FC66CB" w:rsidRPr="000655AF" w:rsidRDefault="00FC66CB" w:rsidP="00BB172B">
      <w:pPr>
        <w:pStyle w:val="Naslov2"/>
        <w:ind w:left="567" w:hanging="567"/>
      </w:pPr>
      <w:r w:rsidRPr="000655AF">
        <w:lastRenderedPageBreak/>
        <w:t xml:space="preserve">The foundation of </w:t>
      </w:r>
      <w:r w:rsidRPr="00311D45">
        <w:rPr>
          <w:highlight w:val="cyan"/>
        </w:rPr>
        <w:t>a new European Innovation Council (EIC)</w:t>
      </w:r>
      <w:r w:rsidRPr="000655AF">
        <w:t xml:space="preserve">, as proposed by the Commission, and which is supposed </w:t>
      </w:r>
      <w:r w:rsidRPr="00311D45">
        <w:rPr>
          <w:highlight w:val="yellow"/>
        </w:rPr>
        <w:t>to address entrepreneurs/innovators</w:t>
      </w:r>
      <w:r w:rsidR="00646E36" w:rsidRPr="00311D45">
        <w:rPr>
          <w:highlight w:val="yellow"/>
        </w:rPr>
        <w:t xml:space="preserve"> directly</w:t>
      </w:r>
      <w:r w:rsidR="00BF1172" w:rsidRPr="000655AF">
        <w:t>,</w:t>
      </w:r>
      <w:r w:rsidRPr="000655AF">
        <w:t xml:space="preserve"> could become </w:t>
      </w:r>
      <w:r w:rsidR="00FA57E1" w:rsidRPr="000655AF">
        <w:t>an umbrella which</w:t>
      </w:r>
      <w:r w:rsidR="00936CD6" w:rsidRPr="000655AF">
        <w:t xml:space="preserve"> </w:t>
      </w:r>
      <w:proofErr w:type="gramStart"/>
      <w:r w:rsidR="00936CD6" w:rsidRPr="000655AF">
        <w:t>s</w:t>
      </w:r>
      <w:r w:rsidR="00FA57E1" w:rsidRPr="000655AF">
        <w:t xml:space="preserve">treamlines </w:t>
      </w:r>
      <w:r w:rsidRPr="000655AF">
        <w:t xml:space="preserve"> the</w:t>
      </w:r>
      <w:proofErr w:type="gramEnd"/>
      <w:r w:rsidRPr="000655AF">
        <w:t xml:space="preserve">  fun</w:t>
      </w:r>
      <w:r w:rsidR="00143529" w:rsidRPr="000655AF">
        <w:t xml:space="preserve">ding instruments </w:t>
      </w:r>
      <w:r w:rsidR="00782FDC" w:rsidRPr="000655AF">
        <w:t>for innovation</w:t>
      </w:r>
      <w:r w:rsidR="00C1749F" w:rsidRPr="000655AF">
        <w:t>,</w:t>
      </w:r>
      <w:r w:rsidRPr="000655AF">
        <w:t xml:space="preserve"> </w:t>
      </w:r>
      <w:r w:rsidR="00782FDC" w:rsidRPr="000655AF">
        <w:t xml:space="preserve">thereby providing an </w:t>
      </w:r>
      <w:r w:rsidRPr="000655AF">
        <w:t xml:space="preserve">efficient way </w:t>
      </w:r>
      <w:r w:rsidR="00773D4D" w:rsidRPr="000655AF">
        <w:t>to</w:t>
      </w:r>
      <w:r w:rsidRPr="000655AF">
        <w:t xml:space="preserve"> clos</w:t>
      </w:r>
      <w:r w:rsidR="00773D4D" w:rsidRPr="000655AF">
        <w:t>e</w:t>
      </w:r>
      <w:r w:rsidRPr="000655AF">
        <w:t xml:space="preserve"> </w:t>
      </w:r>
      <w:r w:rsidRPr="007E6986">
        <w:rPr>
          <w:highlight w:val="yellow"/>
        </w:rPr>
        <w:t>the innovation gap</w:t>
      </w:r>
      <w:r w:rsidRPr="000655AF">
        <w:t>.</w:t>
      </w:r>
    </w:p>
    <w:p w:rsidR="00FC66CB" w:rsidRPr="000655AF" w:rsidRDefault="00FC66CB" w:rsidP="008C1CFB">
      <w:pPr>
        <w:ind w:left="567"/>
      </w:pPr>
    </w:p>
    <w:p w:rsidR="00FC66CB" w:rsidRPr="000655AF" w:rsidRDefault="00FC66CB" w:rsidP="00BB172B">
      <w:pPr>
        <w:pStyle w:val="Naslov2"/>
        <w:ind w:left="567" w:hanging="567"/>
      </w:pPr>
      <w:r w:rsidRPr="000655AF">
        <w:t xml:space="preserve">The EESC strongly </w:t>
      </w:r>
      <w:r w:rsidR="003E2171" w:rsidRPr="000655AF">
        <w:t xml:space="preserve">recommends </w:t>
      </w:r>
      <w:r w:rsidRPr="000655AF">
        <w:t xml:space="preserve">that when introducing a new funding instrument </w:t>
      </w:r>
      <w:r w:rsidRPr="007E6986">
        <w:rPr>
          <w:highlight w:val="yellow"/>
        </w:rPr>
        <w:t xml:space="preserve">the other instruments </w:t>
      </w:r>
      <w:proofErr w:type="gramStart"/>
      <w:r w:rsidRPr="007E6986">
        <w:rPr>
          <w:highlight w:val="yellow"/>
        </w:rPr>
        <w:t>be reviewed</w:t>
      </w:r>
      <w:proofErr w:type="gramEnd"/>
      <w:r w:rsidRPr="000655AF">
        <w:t xml:space="preserve"> thoroughly</w:t>
      </w:r>
      <w:r w:rsidR="003E2171" w:rsidRPr="000655AF">
        <w:t>,</w:t>
      </w:r>
      <w:r w:rsidRPr="000655AF">
        <w:t xml:space="preserve"> with the </w:t>
      </w:r>
      <w:r w:rsidRPr="007E6986">
        <w:rPr>
          <w:highlight w:val="yellow"/>
        </w:rPr>
        <w:t xml:space="preserve">aim </w:t>
      </w:r>
      <w:r w:rsidR="003E2171" w:rsidRPr="007E6986">
        <w:rPr>
          <w:highlight w:val="yellow"/>
        </w:rPr>
        <w:t>of</w:t>
      </w:r>
      <w:r w:rsidRPr="007E6986">
        <w:rPr>
          <w:highlight w:val="yellow"/>
        </w:rPr>
        <w:t xml:space="preserve"> reduc</w:t>
      </w:r>
      <w:r w:rsidR="003E2171" w:rsidRPr="007E6986">
        <w:rPr>
          <w:highlight w:val="yellow"/>
        </w:rPr>
        <w:t>ing</w:t>
      </w:r>
      <w:r w:rsidRPr="000655AF">
        <w:t xml:space="preserve"> their number and </w:t>
      </w:r>
      <w:r w:rsidRPr="007E6986">
        <w:rPr>
          <w:highlight w:val="yellow"/>
        </w:rPr>
        <w:t>harmonis</w:t>
      </w:r>
      <w:r w:rsidR="003E2171" w:rsidRPr="007E6986">
        <w:rPr>
          <w:highlight w:val="yellow"/>
        </w:rPr>
        <w:t>ing</w:t>
      </w:r>
      <w:r w:rsidRPr="000655AF">
        <w:t xml:space="preserve"> them as far as possible.</w:t>
      </w:r>
    </w:p>
    <w:p w:rsidR="0024751E" w:rsidRPr="000655AF" w:rsidRDefault="0024751E" w:rsidP="008C1CFB">
      <w:pPr>
        <w:ind w:left="567"/>
      </w:pPr>
    </w:p>
    <w:p w:rsidR="00FC66CB" w:rsidRPr="000655AF" w:rsidRDefault="00FC66CB" w:rsidP="00BB172B">
      <w:pPr>
        <w:pStyle w:val="Naslov2"/>
        <w:ind w:left="567" w:hanging="567"/>
      </w:pPr>
      <w:r w:rsidRPr="000655AF">
        <w:t>The EESC would like to stress that the provision of mobility funding and access</w:t>
      </w:r>
      <w:r w:rsidR="005E28F1" w:rsidRPr="000655AF">
        <w:t xml:space="preserve">, along with </w:t>
      </w:r>
      <w:r w:rsidRPr="007E6986">
        <w:rPr>
          <w:highlight w:val="yellow"/>
        </w:rPr>
        <w:t>support for researchers to infrastructure across borders</w:t>
      </w:r>
      <w:r w:rsidR="005E28F1" w:rsidRPr="000655AF">
        <w:t>,</w:t>
      </w:r>
      <w:r w:rsidRPr="000655AF">
        <w:t xml:space="preserve"> is a key asset of the European Research Area</w:t>
      </w:r>
      <w:r w:rsidR="00C81BF7" w:rsidRPr="000655AF">
        <w:t xml:space="preserve">, </w:t>
      </w:r>
      <w:r w:rsidRPr="000655AF">
        <w:t xml:space="preserve">which </w:t>
      </w:r>
      <w:proofErr w:type="gramStart"/>
      <w:r w:rsidRPr="000655AF">
        <w:t>should be supported</w:t>
      </w:r>
      <w:proofErr w:type="gramEnd"/>
      <w:r w:rsidRPr="000655AF">
        <w:t xml:space="preserve"> more </w:t>
      </w:r>
      <w:r w:rsidR="005E28F1" w:rsidRPr="000655AF">
        <w:t>effectively</w:t>
      </w:r>
      <w:r w:rsidRPr="000655AF">
        <w:t>.</w:t>
      </w:r>
    </w:p>
    <w:p w:rsidR="00FC66CB" w:rsidRPr="000655AF" w:rsidRDefault="00FC66CB" w:rsidP="008C1CFB">
      <w:pPr>
        <w:ind w:left="567"/>
      </w:pPr>
    </w:p>
    <w:p w:rsidR="00FC66CB" w:rsidRPr="000655AF" w:rsidRDefault="00FC66CB" w:rsidP="00BB172B">
      <w:pPr>
        <w:pStyle w:val="Naslov2"/>
        <w:ind w:left="567" w:hanging="567"/>
      </w:pPr>
      <w:r w:rsidRPr="000655AF">
        <w:t xml:space="preserve">The EESC is exceedingly concerned about </w:t>
      </w:r>
      <w:r w:rsidRPr="007E6986">
        <w:rPr>
          <w:highlight w:val="yellow"/>
        </w:rPr>
        <w:t xml:space="preserve">the large </w:t>
      </w:r>
      <w:r w:rsidRPr="007E6986">
        <w:rPr>
          <w:highlight w:val="cyan"/>
        </w:rPr>
        <w:t xml:space="preserve">disparities </w:t>
      </w:r>
      <w:r w:rsidR="005E28F1" w:rsidRPr="007E6986">
        <w:rPr>
          <w:highlight w:val="yellow"/>
        </w:rPr>
        <w:t>between Member</w:t>
      </w:r>
      <w:r w:rsidRPr="007E6986">
        <w:rPr>
          <w:highlight w:val="yellow"/>
        </w:rPr>
        <w:t xml:space="preserve"> States in </w:t>
      </w:r>
      <w:r w:rsidR="005E28F1" w:rsidRPr="007E6986">
        <w:rPr>
          <w:highlight w:val="yellow"/>
        </w:rPr>
        <w:t>terms of</w:t>
      </w:r>
      <w:r w:rsidRPr="007E6986">
        <w:rPr>
          <w:highlight w:val="yellow"/>
        </w:rPr>
        <w:t xml:space="preserve"> national </w:t>
      </w:r>
      <w:r w:rsidRPr="007E6986">
        <w:rPr>
          <w:highlight w:val="cyan"/>
        </w:rPr>
        <w:t xml:space="preserve">funding </w:t>
      </w:r>
      <w:r w:rsidR="005E28F1" w:rsidRPr="007E6986">
        <w:rPr>
          <w:highlight w:val="yellow"/>
        </w:rPr>
        <w:t>for</w:t>
      </w:r>
      <w:r w:rsidRPr="007E6986">
        <w:rPr>
          <w:highlight w:val="yellow"/>
        </w:rPr>
        <w:t xml:space="preserve"> research and innovation</w:t>
      </w:r>
      <w:r w:rsidRPr="000655AF">
        <w:t xml:space="preserve">. </w:t>
      </w:r>
      <w:r w:rsidR="005E28F1" w:rsidRPr="000655AF">
        <w:t>T</w:t>
      </w:r>
      <w:r w:rsidRPr="000655AF">
        <w:t xml:space="preserve">his has led to </w:t>
      </w:r>
      <w:r w:rsidRPr="00F36406">
        <w:rPr>
          <w:highlight w:val="cyan"/>
        </w:rPr>
        <w:t xml:space="preserve">large differences </w:t>
      </w:r>
      <w:r w:rsidRPr="007E6986">
        <w:rPr>
          <w:highlight w:val="yellow"/>
        </w:rPr>
        <w:t>in success with regard to receiving EU funding</w:t>
      </w:r>
      <w:r w:rsidRPr="000655AF">
        <w:t xml:space="preserve">. </w:t>
      </w:r>
    </w:p>
    <w:p w:rsidR="00FC66CB" w:rsidRPr="000655AF" w:rsidRDefault="00FC66CB" w:rsidP="008C1CFB">
      <w:pPr>
        <w:ind w:left="567"/>
      </w:pPr>
    </w:p>
    <w:p w:rsidR="00FC66CB" w:rsidRPr="000655AF" w:rsidRDefault="00FC66CB" w:rsidP="00BB172B">
      <w:pPr>
        <w:pStyle w:val="Naslov2"/>
        <w:ind w:left="567" w:hanging="567"/>
      </w:pPr>
      <w:r w:rsidRPr="000655AF">
        <w:t xml:space="preserve">The EESC recommends that </w:t>
      </w:r>
      <w:r w:rsidRPr="00F36406">
        <w:rPr>
          <w:highlight w:val="yellow"/>
        </w:rPr>
        <w:t xml:space="preserve">all instruments be reviewed </w:t>
      </w:r>
      <w:r w:rsidR="005E28F1" w:rsidRPr="00F36406">
        <w:rPr>
          <w:highlight w:val="yellow"/>
        </w:rPr>
        <w:t xml:space="preserve">in order to make </w:t>
      </w:r>
      <w:proofErr w:type="gramStart"/>
      <w:r w:rsidRPr="00F36406">
        <w:rPr>
          <w:highlight w:val="yellow"/>
        </w:rPr>
        <w:t>improvements which</w:t>
      </w:r>
      <w:proofErr w:type="gramEnd"/>
      <w:r w:rsidRPr="00F36406">
        <w:rPr>
          <w:highlight w:val="yellow"/>
        </w:rPr>
        <w:t xml:space="preserve"> may help to overcome these disparities</w:t>
      </w:r>
      <w:r w:rsidRPr="000655AF">
        <w:t xml:space="preserve">. </w:t>
      </w:r>
      <w:r w:rsidR="005E28F1" w:rsidRPr="000655AF">
        <w:t>To this end,</w:t>
      </w:r>
      <w:r w:rsidRPr="000655AF">
        <w:t xml:space="preserve"> </w:t>
      </w:r>
      <w:r w:rsidRPr="00F36406">
        <w:rPr>
          <w:highlight w:val="yellow"/>
        </w:rPr>
        <w:t>collaborative research</w:t>
      </w:r>
      <w:r w:rsidRPr="000655AF">
        <w:t xml:space="preserve"> bringing together several Member States will play an important role</w:t>
      </w:r>
      <w:r w:rsidR="005E28F1" w:rsidRPr="000655AF">
        <w:t>,</w:t>
      </w:r>
      <w:r w:rsidRPr="000655AF">
        <w:t xml:space="preserve"> as well as the new measures for Spreading Excellence and Widening Participation.</w:t>
      </w:r>
    </w:p>
    <w:p w:rsidR="00FC66CB" w:rsidRPr="000655AF" w:rsidRDefault="00FC66CB" w:rsidP="008C1CFB">
      <w:pPr>
        <w:ind w:left="567"/>
      </w:pPr>
    </w:p>
    <w:p w:rsidR="00FC66CB" w:rsidRPr="000655AF" w:rsidRDefault="00FC66CB" w:rsidP="00BB172B">
      <w:pPr>
        <w:pStyle w:val="Naslov2"/>
        <w:ind w:left="567" w:hanging="567"/>
      </w:pPr>
      <w:r w:rsidRPr="000655AF">
        <w:t xml:space="preserve">The EESC calls for </w:t>
      </w:r>
      <w:r w:rsidRPr="00F36406">
        <w:rPr>
          <w:highlight w:val="cyan"/>
        </w:rPr>
        <w:t xml:space="preserve">national R&amp;I funding to </w:t>
      </w:r>
      <w:proofErr w:type="gramStart"/>
      <w:r w:rsidRPr="00F36406">
        <w:rPr>
          <w:highlight w:val="cyan"/>
        </w:rPr>
        <w:t>be strengthened</w:t>
      </w:r>
      <w:proofErr w:type="gramEnd"/>
      <w:r w:rsidRPr="000655AF">
        <w:t xml:space="preserve"> </w:t>
      </w:r>
      <w:r w:rsidRPr="00F36406">
        <w:rPr>
          <w:highlight w:val="yellow"/>
        </w:rPr>
        <w:t>and would like to emphasise to Member States that EU R&amp;I funding cannot replace national efforts</w:t>
      </w:r>
      <w:r w:rsidRPr="000655AF">
        <w:t>.</w:t>
      </w:r>
    </w:p>
    <w:p w:rsidR="00FC66CB" w:rsidRPr="000655AF" w:rsidRDefault="00FC66CB" w:rsidP="008C1CFB">
      <w:pPr>
        <w:ind w:left="567"/>
      </w:pPr>
    </w:p>
    <w:p w:rsidR="00FC66CB" w:rsidRPr="000655AF" w:rsidRDefault="00FC66CB" w:rsidP="00BB172B">
      <w:pPr>
        <w:pStyle w:val="Naslov2"/>
        <w:ind w:left="567" w:hanging="567"/>
      </w:pPr>
      <w:r w:rsidRPr="000655AF">
        <w:t xml:space="preserve">The EESC also supports the Council conclusions of 27 May 2016 stressing that, </w:t>
      </w:r>
      <w:r w:rsidRPr="00F36406">
        <w:rPr>
          <w:highlight w:val="yellow"/>
        </w:rPr>
        <w:t xml:space="preserve">within the framework of Horizon 2020, care </w:t>
      </w:r>
      <w:proofErr w:type="gramStart"/>
      <w:r w:rsidRPr="00F36406">
        <w:rPr>
          <w:highlight w:val="yellow"/>
        </w:rPr>
        <w:t>should be taken</w:t>
      </w:r>
      <w:proofErr w:type="gramEnd"/>
      <w:r w:rsidRPr="00F36406">
        <w:rPr>
          <w:highlight w:val="yellow"/>
        </w:rPr>
        <w:t xml:space="preserve"> to ensure that </w:t>
      </w:r>
      <w:r w:rsidRPr="00F36406">
        <w:rPr>
          <w:highlight w:val="cyan"/>
        </w:rPr>
        <w:t xml:space="preserve">loan-based financing </w:t>
      </w:r>
      <w:r w:rsidRPr="00F36406">
        <w:rPr>
          <w:highlight w:val="yellow"/>
        </w:rPr>
        <w:t xml:space="preserve">is not further expanded to the detriment of </w:t>
      </w:r>
      <w:r w:rsidRPr="00F36406">
        <w:rPr>
          <w:highlight w:val="cyan"/>
        </w:rPr>
        <w:t>grant-based R&amp;I funding</w:t>
      </w:r>
      <w:r w:rsidRPr="000655AF">
        <w:t>.</w:t>
      </w:r>
    </w:p>
    <w:p w:rsidR="00FC66CB" w:rsidRPr="000655AF" w:rsidRDefault="00FC66CB" w:rsidP="008C1CFB">
      <w:pPr>
        <w:ind w:left="567"/>
      </w:pPr>
    </w:p>
    <w:p w:rsidR="00FC66CB" w:rsidRPr="000655AF" w:rsidRDefault="00FC66CB" w:rsidP="00BB172B">
      <w:pPr>
        <w:pStyle w:val="Naslov2"/>
        <w:ind w:left="567" w:hanging="567"/>
      </w:pPr>
      <w:r w:rsidRPr="000655AF">
        <w:t xml:space="preserve">Reasonable success rates need to </w:t>
      </w:r>
      <w:proofErr w:type="gramStart"/>
      <w:r w:rsidRPr="000655AF">
        <w:t>be achieved</w:t>
      </w:r>
      <w:proofErr w:type="gramEnd"/>
      <w:r w:rsidRPr="000655AF">
        <w:t xml:space="preserve"> to avoid wast</w:t>
      </w:r>
      <w:r w:rsidR="005E28F1" w:rsidRPr="000655AF">
        <w:t xml:space="preserve">ing </w:t>
      </w:r>
      <w:r w:rsidRPr="000655AF">
        <w:t xml:space="preserve">resources </w:t>
      </w:r>
      <w:r w:rsidR="005E28F1" w:rsidRPr="000655AF">
        <w:t>and</w:t>
      </w:r>
      <w:r w:rsidRPr="000655AF">
        <w:t xml:space="preserve"> </w:t>
      </w:r>
      <w:r w:rsidR="005E28F1" w:rsidRPr="000655AF">
        <w:t xml:space="preserve">causing </w:t>
      </w:r>
      <w:r w:rsidRPr="000655AF">
        <w:t xml:space="preserve">frustration </w:t>
      </w:r>
      <w:r w:rsidR="005E28F1" w:rsidRPr="000655AF">
        <w:t>among</w:t>
      </w:r>
      <w:r w:rsidRPr="000655AF">
        <w:t xml:space="preserve"> the best participants from industry and academia. </w:t>
      </w:r>
      <w:proofErr w:type="gramStart"/>
      <w:r w:rsidRPr="000655AF">
        <w:t xml:space="preserve">A variety of proposals for countermeasures </w:t>
      </w:r>
      <w:r w:rsidR="005E28F1" w:rsidRPr="000655AF">
        <w:t>are</w:t>
      </w:r>
      <w:proofErr w:type="gramEnd"/>
      <w:r w:rsidR="005E28F1" w:rsidRPr="000655AF">
        <w:t xml:space="preserve"> </w:t>
      </w:r>
      <w:r w:rsidRPr="000655AF">
        <w:t xml:space="preserve">available and the Commission should implement them </w:t>
      </w:r>
      <w:r w:rsidR="009E729D" w:rsidRPr="000655AF">
        <w:t xml:space="preserve">immediately </w:t>
      </w:r>
      <w:r w:rsidRPr="000655AF">
        <w:t>for the remaining Horizon 2020</w:t>
      </w:r>
      <w:r w:rsidR="009E729D" w:rsidRPr="000655AF">
        <w:t xml:space="preserve"> period.</w:t>
      </w:r>
      <w:r w:rsidRPr="000655AF">
        <w:t xml:space="preserve"> </w:t>
      </w:r>
    </w:p>
    <w:p w:rsidR="00C03C4B" w:rsidRPr="000655AF" w:rsidRDefault="00C03C4B" w:rsidP="008C1CFB">
      <w:pPr>
        <w:ind w:left="567"/>
      </w:pPr>
    </w:p>
    <w:p w:rsidR="00FC66CB" w:rsidRPr="000655AF" w:rsidRDefault="00FC66CB" w:rsidP="00BB172B">
      <w:pPr>
        <w:pStyle w:val="Naslov2"/>
        <w:ind w:left="567" w:hanging="567"/>
      </w:pPr>
      <w:r w:rsidRPr="000655AF">
        <w:t xml:space="preserve">The need </w:t>
      </w:r>
      <w:proofErr w:type="gramStart"/>
      <w:r w:rsidR="009E729D" w:rsidRPr="000655AF">
        <w:t>to</w:t>
      </w:r>
      <w:r w:rsidRPr="000655AF">
        <w:t xml:space="preserve"> </w:t>
      </w:r>
      <w:r w:rsidRPr="001544B4">
        <w:rPr>
          <w:highlight w:val="yellow"/>
        </w:rPr>
        <w:t xml:space="preserve">further </w:t>
      </w:r>
      <w:r w:rsidR="009E729D" w:rsidRPr="001544B4">
        <w:rPr>
          <w:highlight w:val="cyan"/>
        </w:rPr>
        <w:t>simplify</w:t>
      </w:r>
      <w:proofErr w:type="gramEnd"/>
      <w:r w:rsidRPr="001544B4">
        <w:rPr>
          <w:highlight w:val="cyan"/>
        </w:rPr>
        <w:t xml:space="preserve"> </w:t>
      </w:r>
      <w:r w:rsidRPr="001544B4">
        <w:rPr>
          <w:highlight w:val="yellow"/>
        </w:rPr>
        <w:t>Horizon 2020 procedures</w:t>
      </w:r>
      <w:r w:rsidRPr="000655AF">
        <w:t xml:space="preserve"> is still </w:t>
      </w:r>
      <w:r w:rsidRPr="001544B4">
        <w:rPr>
          <w:highlight w:val="yellow"/>
        </w:rPr>
        <w:t>a major issue</w:t>
      </w:r>
      <w:r w:rsidRPr="000655AF">
        <w:t>. We acknowledge the Commission</w:t>
      </w:r>
      <w:r w:rsidR="00002BC9" w:rsidRPr="000655AF">
        <w:t>'s successful efforts</w:t>
      </w:r>
      <w:r w:rsidRPr="000655AF">
        <w:t xml:space="preserve"> to make applications easier. </w:t>
      </w:r>
      <w:r w:rsidRPr="001544B4">
        <w:rPr>
          <w:highlight w:val="yellow"/>
        </w:rPr>
        <w:t>In contrast to this</w:t>
      </w:r>
      <w:r w:rsidRPr="000655AF">
        <w:t xml:space="preserve">, </w:t>
      </w:r>
      <w:proofErr w:type="gramStart"/>
      <w:r w:rsidRPr="001544B4">
        <w:rPr>
          <w:highlight w:val="yellow"/>
        </w:rPr>
        <w:t xml:space="preserve">the </w:t>
      </w:r>
      <w:r w:rsidR="00002BC9" w:rsidRPr="001544B4">
        <w:rPr>
          <w:highlight w:val="yellow"/>
        </w:rPr>
        <w:t xml:space="preserve"> </w:t>
      </w:r>
      <w:r w:rsidRPr="001544B4">
        <w:rPr>
          <w:highlight w:val="yellow"/>
        </w:rPr>
        <w:t>project</w:t>
      </w:r>
      <w:proofErr w:type="gramEnd"/>
      <w:r w:rsidR="00002BC9" w:rsidRPr="001544B4">
        <w:rPr>
          <w:highlight w:val="yellow"/>
        </w:rPr>
        <w:t xml:space="preserve"> execution stage</w:t>
      </w:r>
      <w:r w:rsidRPr="001544B4">
        <w:rPr>
          <w:highlight w:val="yellow"/>
        </w:rPr>
        <w:t xml:space="preserve"> </w:t>
      </w:r>
      <w:r w:rsidR="00002BC9" w:rsidRPr="001544B4">
        <w:rPr>
          <w:highlight w:val="yellow"/>
        </w:rPr>
        <w:t>may</w:t>
      </w:r>
      <w:r w:rsidRPr="001544B4">
        <w:rPr>
          <w:highlight w:val="yellow"/>
        </w:rPr>
        <w:t xml:space="preserve"> now </w:t>
      </w:r>
      <w:r w:rsidR="00002BC9" w:rsidRPr="001544B4">
        <w:rPr>
          <w:highlight w:val="yellow"/>
        </w:rPr>
        <w:t>involve</w:t>
      </w:r>
      <w:r w:rsidRPr="001544B4">
        <w:rPr>
          <w:highlight w:val="yellow"/>
        </w:rPr>
        <w:t xml:space="preserve"> extra burden</w:t>
      </w:r>
      <w:r w:rsidR="00002BC9" w:rsidRPr="001544B4">
        <w:rPr>
          <w:highlight w:val="yellow"/>
        </w:rPr>
        <w:t>s</w:t>
      </w:r>
      <w:r w:rsidRPr="000655AF">
        <w:t>. The EESC recommends that the Commission accept</w:t>
      </w:r>
      <w:r w:rsidR="00986D62" w:rsidRPr="000655AF">
        <w:t>,</w:t>
      </w:r>
      <w:r w:rsidRPr="000655AF">
        <w:t xml:space="preserve"> as far as possible</w:t>
      </w:r>
      <w:r w:rsidR="00986D62" w:rsidRPr="000655AF">
        <w:t>,</w:t>
      </w:r>
      <w:r w:rsidRPr="000655AF">
        <w:t xml:space="preserve"> the principle that </w:t>
      </w:r>
      <w:r w:rsidRPr="001544B4">
        <w:rPr>
          <w:highlight w:val="yellow"/>
        </w:rPr>
        <w:t>compliance with national rules is the main criterion</w:t>
      </w:r>
      <w:r w:rsidRPr="000655AF">
        <w:t>, as long as these</w:t>
      </w:r>
      <w:r w:rsidR="00986D62" w:rsidRPr="000655AF">
        <w:t xml:space="preserve"> rules</w:t>
      </w:r>
      <w:r w:rsidRPr="000655AF">
        <w:t xml:space="preserve"> meet agreed standards.</w:t>
      </w:r>
    </w:p>
    <w:p w:rsidR="00FC66CB" w:rsidRPr="000655AF" w:rsidRDefault="00FC66CB" w:rsidP="008C1CFB">
      <w:pPr>
        <w:ind w:left="567"/>
      </w:pPr>
    </w:p>
    <w:p w:rsidR="00FC66CB" w:rsidRPr="000655AF" w:rsidRDefault="00FC66CB" w:rsidP="00BB172B">
      <w:pPr>
        <w:pStyle w:val="Naslov2"/>
        <w:ind w:left="567" w:hanging="567"/>
      </w:pPr>
      <w:r w:rsidRPr="000655AF">
        <w:t xml:space="preserve">The </w:t>
      </w:r>
      <w:r w:rsidRPr="001544B4">
        <w:rPr>
          <w:highlight w:val="yellow"/>
        </w:rPr>
        <w:t>interim evaluation should analyse</w:t>
      </w:r>
      <w:r w:rsidRPr="000655AF">
        <w:t xml:space="preserve"> </w:t>
      </w:r>
      <w:r w:rsidRPr="001544B4">
        <w:rPr>
          <w:highlight w:val="yellow"/>
        </w:rPr>
        <w:t>how Horizon 2020 contributes</w:t>
      </w:r>
      <w:r w:rsidRPr="000655AF">
        <w:t xml:space="preserve"> </w:t>
      </w:r>
      <w:r w:rsidRPr="001544B4">
        <w:rPr>
          <w:highlight w:val="cyan"/>
        </w:rPr>
        <w:t>qualitatively</w:t>
      </w:r>
      <w:r w:rsidRPr="000655AF">
        <w:t xml:space="preserve"> to its objectives of fostering </w:t>
      </w:r>
      <w:r w:rsidRPr="001544B4">
        <w:rPr>
          <w:highlight w:val="yellow"/>
        </w:rPr>
        <w:t>excellent</w:t>
      </w:r>
      <w:r w:rsidRPr="000655AF">
        <w:t xml:space="preserve"> science, addressing </w:t>
      </w:r>
      <w:r w:rsidRPr="001544B4">
        <w:rPr>
          <w:highlight w:val="yellow"/>
        </w:rPr>
        <w:t>urgent societal challenges</w:t>
      </w:r>
      <w:r w:rsidRPr="000655AF">
        <w:t xml:space="preserve"> and </w:t>
      </w:r>
      <w:r w:rsidRPr="001544B4">
        <w:t xml:space="preserve">supporting </w:t>
      </w:r>
      <w:r w:rsidRPr="001544B4">
        <w:rPr>
          <w:highlight w:val="yellow"/>
        </w:rPr>
        <w:t>industrial leadership</w:t>
      </w:r>
      <w:r w:rsidRPr="000655AF">
        <w:t xml:space="preserve"> for greater economic and inclusive growth </w:t>
      </w:r>
      <w:r w:rsidR="009A2E60" w:rsidRPr="000655AF">
        <w:t>that creates</w:t>
      </w:r>
      <w:r w:rsidRPr="000655AF">
        <w:t xml:space="preserve"> real </w:t>
      </w:r>
      <w:r w:rsidR="009A2E60" w:rsidRPr="000655AF">
        <w:t>jobs in Europe</w:t>
      </w:r>
      <w:r w:rsidRPr="000655AF">
        <w:t xml:space="preserve">, </w:t>
      </w:r>
      <w:r w:rsidRPr="001544B4">
        <w:rPr>
          <w:highlight w:val="cyan"/>
        </w:rPr>
        <w:t>rather than focussing</w:t>
      </w:r>
      <w:r w:rsidRPr="000655AF">
        <w:t xml:space="preserve"> too </w:t>
      </w:r>
      <w:r w:rsidR="009A2E60" w:rsidRPr="000655AF">
        <w:t>much</w:t>
      </w:r>
      <w:r w:rsidRPr="000655AF">
        <w:t xml:space="preserve"> on </w:t>
      </w:r>
      <w:r w:rsidRPr="001544B4">
        <w:rPr>
          <w:highlight w:val="cyan"/>
        </w:rPr>
        <w:t>quantitative</w:t>
      </w:r>
      <w:r w:rsidRPr="000655AF">
        <w:t xml:space="preserve"> measures such </w:t>
      </w:r>
      <w:r w:rsidRPr="001544B4">
        <w:rPr>
          <w:highlight w:val="yellow"/>
        </w:rPr>
        <w:t>as counting publications</w:t>
      </w:r>
      <w:r w:rsidRPr="000655AF">
        <w:t xml:space="preserve">, </w:t>
      </w:r>
      <w:r w:rsidRPr="001544B4">
        <w:rPr>
          <w:highlight w:val="yellow"/>
        </w:rPr>
        <w:t>patents</w:t>
      </w:r>
      <w:r w:rsidRPr="000655AF">
        <w:t xml:space="preserve"> </w:t>
      </w:r>
      <w:r w:rsidRPr="001544B4">
        <w:rPr>
          <w:highlight w:val="yellow"/>
        </w:rPr>
        <w:t>and return on investment</w:t>
      </w:r>
      <w:r w:rsidRPr="000655AF">
        <w:t xml:space="preserve">, </w:t>
      </w:r>
      <w:r w:rsidRPr="001544B4">
        <w:rPr>
          <w:highlight w:val="yellow"/>
        </w:rPr>
        <w:t>as the FP7 evaluation</w:t>
      </w:r>
      <w:r w:rsidR="009A2E60" w:rsidRPr="001544B4">
        <w:rPr>
          <w:highlight w:val="yellow"/>
        </w:rPr>
        <w:t xml:space="preserve"> has done</w:t>
      </w:r>
      <w:r w:rsidR="009A2E60" w:rsidRPr="000655AF">
        <w:t>.</w:t>
      </w:r>
      <w:r w:rsidRPr="000655AF">
        <w:t xml:space="preserve"> It also recommends establishing </w:t>
      </w:r>
      <w:r w:rsidRPr="001544B4">
        <w:rPr>
          <w:highlight w:val="yellow"/>
        </w:rPr>
        <w:lastRenderedPageBreak/>
        <w:t xml:space="preserve">compatible indicators </w:t>
      </w:r>
      <w:r w:rsidR="009A2E60" w:rsidRPr="001544B4">
        <w:rPr>
          <w:highlight w:val="yellow"/>
        </w:rPr>
        <w:t>for both</w:t>
      </w:r>
      <w:r w:rsidRPr="001544B4">
        <w:rPr>
          <w:highlight w:val="yellow"/>
        </w:rPr>
        <w:t xml:space="preserve"> research and innovation investments</w:t>
      </w:r>
      <w:r w:rsidRPr="000655AF">
        <w:t xml:space="preserve"> within the structural funds and the EFSI.</w:t>
      </w:r>
    </w:p>
    <w:p w:rsidR="004B4154" w:rsidRPr="000655AF" w:rsidRDefault="004B4154" w:rsidP="008C1CFB">
      <w:pPr>
        <w:ind w:left="567"/>
        <w:rPr>
          <w:color w:val="000000"/>
        </w:rPr>
      </w:pPr>
    </w:p>
    <w:p w:rsidR="001C3D77" w:rsidRPr="000655AF" w:rsidRDefault="001C3D77" w:rsidP="00BB172B">
      <w:pPr>
        <w:pStyle w:val="Naslov1"/>
        <w:keepNext/>
        <w:ind w:left="567" w:hanging="567"/>
        <w:rPr>
          <w:b/>
        </w:rPr>
      </w:pPr>
      <w:r w:rsidRPr="000655AF">
        <w:rPr>
          <w:b/>
        </w:rPr>
        <w:t>Introduction</w:t>
      </w:r>
    </w:p>
    <w:p w:rsidR="000931AD" w:rsidRPr="000655AF" w:rsidRDefault="000931AD" w:rsidP="0077555F">
      <w:pPr>
        <w:keepNext/>
      </w:pPr>
    </w:p>
    <w:p w:rsidR="00143DC2" w:rsidRPr="000655AF" w:rsidRDefault="00143DC2" w:rsidP="00BB172B">
      <w:pPr>
        <w:pStyle w:val="Naslov2"/>
        <w:ind w:left="567" w:hanging="567"/>
      </w:pPr>
      <w:r w:rsidRPr="000655AF">
        <w:t xml:space="preserve">Horizon 2020 </w:t>
      </w:r>
      <w:r w:rsidR="00143529" w:rsidRPr="000655AF">
        <w:t>–</w:t>
      </w:r>
      <w:r w:rsidRPr="000655AF">
        <w:t xml:space="preserve"> the Framework Programme </w:t>
      </w:r>
      <w:r w:rsidRPr="00785D93">
        <w:rPr>
          <w:highlight w:val="cyan"/>
        </w:rPr>
        <w:t>for Research and Innovation</w:t>
      </w:r>
      <w:r w:rsidRPr="000655AF">
        <w:t xml:space="preserve"> (2014</w:t>
      </w:r>
      <w:r w:rsidR="00C44432" w:rsidRPr="000655AF">
        <w:t>-</w:t>
      </w:r>
      <w:r w:rsidRPr="000655AF">
        <w:t xml:space="preserve">2020), </w:t>
      </w:r>
      <w:proofErr w:type="gramStart"/>
      <w:r w:rsidRPr="000655AF">
        <w:t xml:space="preserve">was </w:t>
      </w:r>
      <w:r w:rsidRPr="001544B4">
        <w:rPr>
          <w:highlight w:val="cyan"/>
        </w:rPr>
        <w:t>launched</w:t>
      </w:r>
      <w:proofErr w:type="gramEnd"/>
      <w:r w:rsidRPr="001544B4">
        <w:rPr>
          <w:highlight w:val="cyan"/>
        </w:rPr>
        <w:t xml:space="preserve"> </w:t>
      </w:r>
      <w:r w:rsidRPr="001544B4">
        <w:rPr>
          <w:highlight w:val="yellow"/>
        </w:rPr>
        <w:t>in 2014</w:t>
      </w:r>
      <w:r w:rsidRPr="000655AF">
        <w:t xml:space="preserve"> to strengthen scientific </w:t>
      </w:r>
      <w:r w:rsidRPr="001544B4">
        <w:rPr>
          <w:highlight w:val="yellow"/>
        </w:rPr>
        <w:t>excellence</w:t>
      </w:r>
      <w:r w:rsidRPr="000655AF">
        <w:t xml:space="preserve">, to meet the major </w:t>
      </w:r>
      <w:r w:rsidRPr="001544B4">
        <w:rPr>
          <w:highlight w:val="yellow"/>
        </w:rPr>
        <w:t>challenges</w:t>
      </w:r>
      <w:r w:rsidRPr="000655AF">
        <w:t xml:space="preserve"> facing society in Europe and to promote economic </w:t>
      </w:r>
      <w:r w:rsidRPr="001544B4">
        <w:rPr>
          <w:highlight w:val="yellow"/>
        </w:rPr>
        <w:t>growth</w:t>
      </w:r>
      <w:r w:rsidRPr="000655AF">
        <w:t xml:space="preserve">. </w:t>
      </w:r>
      <w:r w:rsidRPr="001544B4">
        <w:rPr>
          <w:highlight w:val="yellow"/>
        </w:rPr>
        <w:t xml:space="preserve">It </w:t>
      </w:r>
      <w:r w:rsidRPr="00785D93">
        <w:rPr>
          <w:highlight w:val="cyan"/>
        </w:rPr>
        <w:t>followed</w:t>
      </w:r>
      <w:r w:rsidRPr="000655AF">
        <w:t xml:space="preserve"> the Seventh Framework Programme for Research and Technological Development (2007</w:t>
      </w:r>
      <w:r w:rsidR="00E2229F" w:rsidRPr="000655AF">
        <w:t>-</w:t>
      </w:r>
      <w:r w:rsidRPr="000655AF">
        <w:t xml:space="preserve">2013). </w:t>
      </w:r>
      <w:r w:rsidRPr="001544B4">
        <w:rPr>
          <w:highlight w:val="yellow"/>
        </w:rPr>
        <w:t xml:space="preserve">The </w:t>
      </w:r>
      <w:r w:rsidRPr="001544B4">
        <w:rPr>
          <w:highlight w:val="cyan"/>
        </w:rPr>
        <w:t xml:space="preserve">structure </w:t>
      </w:r>
      <w:r w:rsidRPr="001544B4">
        <w:rPr>
          <w:highlight w:val="yellow"/>
        </w:rPr>
        <w:t>of Horizon 2020 differs</w:t>
      </w:r>
      <w:r w:rsidRPr="000655AF">
        <w:t xml:space="preserve"> </w:t>
      </w:r>
      <w:r w:rsidRPr="001544B4">
        <w:rPr>
          <w:highlight w:val="yellow"/>
        </w:rPr>
        <w:t>significantly</w:t>
      </w:r>
      <w:r w:rsidRPr="000655AF">
        <w:t xml:space="preserve"> from FP7, as the programme now also encompasses the European Institute of Technology (EIT) and parts of the former Competitiveness and Innovation Framework Programme (CIP). As can be seen both in this new structure and in the name, </w:t>
      </w:r>
      <w:r w:rsidRPr="00785D93">
        <w:rPr>
          <w:highlight w:val="cyan"/>
        </w:rPr>
        <w:t>innovation</w:t>
      </w:r>
      <w:r w:rsidRPr="000655AF">
        <w:t xml:space="preserve"> has a much stronger role in Horizon 2020 than in its predecessor. </w:t>
      </w:r>
    </w:p>
    <w:p w:rsidR="00143DC2" w:rsidRPr="000655AF" w:rsidRDefault="00143DC2"/>
    <w:p w:rsidR="00143DC2" w:rsidRPr="000655AF" w:rsidRDefault="00143DC2" w:rsidP="00BB172B">
      <w:pPr>
        <w:pStyle w:val="Naslov2"/>
        <w:ind w:left="567" w:hanging="567"/>
      </w:pPr>
      <w:r w:rsidRPr="000655AF">
        <w:t>The EESC has provided a detailed analysis of the proposal for the Horiz</w:t>
      </w:r>
      <w:r w:rsidR="00FC2917" w:rsidRPr="000655AF">
        <w:t>on 2020 Regulations in its opinion from</w:t>
      </w:r>
      <w:r w:rsidRPr="000655AF">
        <w:t xml:space="preserve"> March 2012</w:t>
      </w:r>
      <w:r w:rsidR="00FC2917" w:rsidRPr="000655AF">
        <w:rPr>
          <w:rStyle w:val="Referencafusnote"/>
        </w:rPr>
        <w:footnoteReference w:id="1"/>
      </w:r>
      <w:r w:rsidRPr="000655AF">
        <w:t xml:space="preserve">. </w:t>
      </w:r>
    </w:p>
    <w:p w:rsidR="00143DC2" w:rsidRPr="000655AF" w:rsidRDefault="00143DC2"/>
    <w:p w:rsidR="00143DC2" w:rsidRPr="000655AF" w:rsidRDefault="00143DC2" w:rsidP="00BB172B">
      <w:pPr>
        <w:pStyle w:val="Naslov2"/>
        <w:ind w:left="567" w:hanging="567"/>
      </w:pPr>
      <w:r w:rsidRPr="000655AF">
        <w:t xml:space="preserve">The EESC welcomes Horizon 2020 as a strong and successful programme that brings together excellence, research infrastructures and most of all researchers from different EU Member States, associated states and around the world, and which produces important results as well as synergies between </w:t>
      </w:r>
      <w:r w:rsidRPr="00785D93">
        <w:rPr>
          <w:highlight w:val="yellow"/>
        </w:rPr>
        <w:t>academia</w:t>
      </w:r>
      <w:r w:rsidRPr="000655AF">
        <w:t xml:space="preserve">, </w:t>
      </w:r>
      <w:r w:rsidRPr="00785D93">
        <w:rPr>
          <w:highlight w:val="yellow"/>
        </w:rPr>
        <w:t>industry</w:t>
      </w:r>
      <w:r w:rsidRPr="000655AF">
        <w:t xml:space="preserve">, </w:t>
      </w:r>
      <w:r w:rsidRPr="00785D93">
        <w:rPr>
          <w:highlight w:val="yellow"/>
        </w:rPr>
        <w:t>SMEs</w:t>
      </w:r>
      <w:r w:rsidRPr="000655AF">
        <w:t xml:space="preserve"> and </w:t>
      </w:r>
      <w:r w:rsidRPr="00785D93">
        <w:rPr>
          <w:highlight w:val="yellow"/>
        </w:rPr>
        <w:t>research organisations</w:t>
      </w:r>
      <w:r w:rsidRPr="000655AF">
        <w:t xml:space="preserve">. </w:t>
      </w:r>
      <w:r w:rsidRPr="00785D93">
        <w:rPr>
          <w:highlight w:val="yellow"/>
        </w:rPr>
        <w:t xml:space="preserve">It is </w:t>
      </w:r>
      <w:r w:rsidRPr="00785D93">
        <w:rPr>
          <w:highlight w:val="cyan"/>
        </w:rPr>
        <w:t xml:space="preserve">the world's largest </w:t>
      </w:r>
      <w:r w:rsidRPr="00785D93">
        <w:rPr>
          <w:highlight w:val="yellow"/>
        </w:rPr>
        <w:t>public funding programme for research and innovation</w:t>
      </w:r>
      <w:r w:rsidRPr="000655AF">
        <w:t xml:space="preserve"> and a strong signal that the EU is investing in its future. </w:t>
      </w:r>
    </w:p>
    <w:p w:rsidR="00143DC2" w:rsidRPr="000655AF" w:rsidRDefault="00143DC2"/>
    <w:p w:rsidR="00143DC2" w:rsidRPr="000655AF" w:rsidRDefault="00173BF3" w:rsidP="00BB172B">
      <w:pPr>
        <w:pStyle w:val="Naslov2"/>
        <w:keepNext/>
        <w:ind w:left="567" w:hanging="567"/>
      </w:pPr>
      <w:r w:rsidRPr="000655AF">
        <w:t xml:space="preserve">The following </w:t>
      </w:r>
      <w:r w:rsidRPr="00785D93">
        <w:rPr>
          <w:highlight w:val="cyan"/>
        </w:rPr>
        <w:t>three main pillars</w:t>
      </w:r>
      <w:r w:rsidRPr="000655AF">
        <w:t xml:space="preserve"> of Horizon 2020 comprise </w:t>
      </w:r>
      <w:r w:rsidRPr="00785D93">
        <w:rPr>
          <w:highlight w:val="yellow"/>
        </w:rPr>
        <w:t>over 90</w:t>
      </w:r>
      <w:r w:rsidR="00D13361" w:rsidRPr="00785D93">
        <w:rPr>
          <w:highlight w:val="yellow"/>
        </w:rPr>
        <w:t>%</w:t>
      </w:r>
      <w:r w:rsidRPr="000655AF">
        <w:t xml:space="preserve"> of the Horizon 2020 budget</w:t>
      </w:r>
      <w:r w:rsidR="00143DC2" w:rsidRPr="000655AF">
        <w:t xml:space="preserve">: </w:t>
      </w:r>
    </w:p>
    <w:p w:rsidR="00143DC2" w:rsidRPr="000655AF" w:rsidRDefault="00143DC2" w:rsidP="002264E8">
      <w:pPr>
        <w:keepNext/>
        <w:tabs>
          <w:tab w:val="left" w:pos="5636"/>
        </w:tabs>
      </w:pPr>
    </w:p>
    <w:p w:rsidR="00143DC2" w:rsidRPr="000655AF" w:rsidRDefault="00D13361" w:rsidP="0077555F">
      <w:pPr>
        <w:numPr>
          <w:ilvl w:val="0"/>
          <w:numId w:val="26"/>
        </w:numPr>
        <w:ind w:hanging="513"/>
      </w:pPr>
      <w:r w:rsidRPr="000655AF">
        <w:t>"</w:t>
      </w:r>
      <w:r w:rsidR="00143DC2" w:rsidRPr="00785D93">
        <w:rPr>
          <w:highlight w:val="cyan"/>
        </w:rPr>
        <w:t>Excellent Science</w:t>
      </w:r>
      <w:r w:rsidRPr="000655AF">
        <w:t>"</w:t>
      </w:r>
      <w:r w:rsidR="00143DC2" w:rsidRPr="000655AF">
        <w:t xml:space="preserve"> with the European Research Council (ERC), future and emerging technologies (FET), researcher mobility (MSCA) and European research infrastructures</w:t>
      </w:r>
      <w:r w:rsidR="00F57A3D" w:rsidRPr="000655AF">
        <w:t xml:space="preserve"> (</w:t>
      </w:r>
      <w:r w:rsidR="00F57A3D" w:rsidRPr="00785D93">
        <w:rPr>
          <w:highlight w:val="yellow"/>
        </w:rPr>
        <w:t>EUR 24</w:t>
      </w:r>
      <w:r w:rsidR="00E277D3" w:rsidRPr="00785D93">
        <w:rPr>
          <w:highlight w:val="yellow"/>
        </w:rPr>
        <w:t>.4</w:t>
      </w:r>
      <w:r w:rsidR="00F57A3D" w:rsidRPr="00785D93">
        <w:rPr>
          <w:highlight w:val="yellow"/>
        </w:rPr>
        <w:t xml:space="preserve"> </w:t>
      </w:r>
      <w:proofErr w:type="gramStart"/>
      <w:r w:rsidR="00F57A3D" w:rsidRPr="00785D93">
        <w:rPr>
          <w:highlight w:val="yellow"/>
        </w:rPr>
        <w:t>billion</w:t>
      </w:r>
      <w:proofErr w:type="gramEnd"/>
      <w:r w:rsidR="00F57A3D" w:rsidRPr="000655AF">
        <w:t>)</w:t>
      </w:r>
      <w:r w:rsidR="00143DC2" w:rsidRPr="000655AF">
        <w:t>.</w:t>
      </w:r>
    </w:p>
    <w:p w:rsidR="00143DC2" w:rsidRPr="000655AF" w:rsidRDefault="00D13361" w:rsidP="0077555F">
      <w:pPr>
        <w:numPr>
          <w:ilvl w:val="0"/>
          <w:numId w:val="26"/>
        </w:numPr>
        <w:ind w:hanging="513"/>
      </w:pPr>
      <w:r w:rsidRPr="000655AF">
        <w:t>"</w:t>
      </w:r>
      <w:r w:rsidR="00143DC2" w:rsidRPr="00785D93">
        <w:rPr>
          <w:highlight w:val="cyan"/>
        </w:rPr>
        <w:t>Industrial Leadership</w:t>
      </w:r>
      <w:r w:rsidRPr="000655AF">
        <w:t>"</w:t>
      </w:r>
      <w:r w:rsidR="00143DC2" w:rsidRPr="000655AF">
        <w:t xml:space="preserve">, focussing on the competitiveness of the European Industry in </w:t>
      </w:r>
      <w:r w:rsidR="00143DC2" w:rsidRPr="00785D93">
        <w:rPr>
          <w:highlight w:val="yellow"/>
        </w:rPr>
        <w:t>six</w:t>
      </w:r>
      <w:r w:rsidR="00143DC2" w:rsidRPr="000655AF">
        <w:t xml:space="preserve"> </w:t>
      </w:r>
      <w:r w:rsidR="00143DC2" w:rsidRPr="00785D93">
        <w:rPr>
          <w:highlight w:val="yellow"/>
        </w:rPr>
        <w:t>sub-programmes</w:t>
      </w:r>
      <w:r w:rsidR="00143DC2" w:rsidRPr="000655AF">
        <w:t xml:space="preserve"> </w:t>
      </w:r>
      <w:r w:rsidR="00143DC2" w:rsidRPr="00785D93">
        <w:rPr>
          <w:highlight w:val="yellow"/>
        </w:rPr>
        <w:t xml:space="preserve">with a particular </w:t>
      </w:r>
      <w:r w:rsidR="00143DC2" w:rsidRPr="00785D93">
        <w:rPr>
          <w:b/>
          <w:highlight w:val="yellow"/>
        </w:rPr>
        <w:t>emphasis on SME funding</w:t>
      </w:r>
      <w:r w:rsidR="00F57A3D" w:rsidRPr="000655AF">
        <w:t xml:space="preserve"> (</w:t>
      </w:r>
      <w:r w:rsidR="00E50AB2" w:rsidRPr="00785D93">
        <w:rPr>
          <w:highlight w:val="yellow"/>
        </w:rPr>
        <w:t>EUR 17</w:t>
      </w:r>
      <w:r w:rsidR="00F57A3D" w:rsidRPr="00785D93">
        <w:rPr>
          <w:highlight w:val="yellow"/>
        </w:rPr>
        <w:t xml:space="preserve"> billion</w:t>
      </w:r>
      <w:r w:rsidR="00F57A3D" w:rsidRPr="000655AF">
        <w:t>)</w:t>
      </w:r>
      <w:r w:rsidR="00143DC2" w:rsidRPr="000655AF">
        <w:t xml:space="preserve">. </w:t>
      </w:r>
    </w:p>
    <w:p w:rsidR="00143DC2" w:rsidRPr="000655AF" w:rsidRDefault="00D13361" w:rsidP="0077555F">
      <w:pPr>
        <w:numPr>
          <w:ilvl w:val="0"/>
          <w:numId w:val="26"/>
        </w:numPr>
        <w:ind w:hanging="513"/>
      </w:pPr>
      <w:r w:rsidRPr="000655AF">
        <w:t>"</w:t>
      </w:r>
      <w:r w:rsidR="00143DC2" w:rsidRPr="00785D93">
        <w:rPr>
          <w:highlight w:val="cyan"/>
        </w:rPr>
        <w:t xml:space="preserve">Societal </w:t>
      </w:r>
      <w:r w:rsidR="007306DD" w:rsidRPr="00785D93">
        <w:rPr>
          <w:highlight w:val="cyan"/>
        </w:rPr>
        <w:t>C</w:t>
      </w:r>
      <w:r w:rsidR="00143DC2" w:rsidRPr="00785D93">
        <w:rPr>
          <w:highlight w:val="cyan"/>
        </w:rPr>
        <w:t>hallenges</w:t>
      </w:r>
      <w:r w:rsidRPr="000655AF">
        <w:t>"</w:t>
      </w:r>
      <w:r w:rsidR="00143DC2" w:rsidRPr="000655AF">
        <w:t xml:space="preserve"> with </w:t>
      </w:r>
      <w:r w:rsidR="00143DC2" w:rsidRPr="00785D93">
        <w:rPr>
          <w:highlight w:val="yellow"/>
        </w:rPr>
        <w:t>seven sub-programmes</w:t>
      </w:r>
      <w:r w:rsidR="00F57A3D" w:rsidRPr="000655AF">
        <w:t xml:space="preserve"> (</w:t>
      </w:r>
      <w:r w:rsidR="00F57A3D" w:rsidRPr="00785D93">
        <w:rPr>
          <w:highlight w:val="yellow"/>
        </w:rPr>
        <w:t>EUR 29</w:t>
      </w:r>
      <w:r w:rsidR="00E277D3" w:rsidRPr="00785D93">
        <w:rPr>
          <w:highlight w:val="yellow"/>
        </w:rPr>
        <w:t>.7</w:t>
      </w:r>
      <w:r w:rsidR="00F57A3D" w:rsidRPr="00785D93">
        <w:rPr>
          <w:highlight w:val="yellow"/>
        </w:rPr>
        <w:t xml:space="preserve"> billion</w:t>
      </w:r>
      <w:r w:rsidR="00F57A3D" w:rsidRPr="000655AF">
        <w:t>)</w:t>
      </w:r>
      <w:r w:rsidR="00C92258" w:rsidRPr="000655AF">
        <w:t>.</w:t>
      </w:r>
    </w:p>
    <w:p w:rsidR="00143DC2" w:rsidRPr="000655AF" w:rsidRDefault="00143DC2"/>
    <w:p w:rsidR="008B03B8" w:rsidRPr="000655AF" w:rsidRDefault="00157FD5" w:rsidP="00BB172B">
      <w:pPr>
        <w:pStyle w:val="Naslov2"/>
        <w:ind w:left="567" w:hanging="567"/>
      </w:pPr>
      <w:r w:rsidRPr="000655AF">
        <w:t xml:space="preserve">The programme was agreed by the Council and European Parliament with a total budget of over EUR 70 billion (nearly </w:t>
      </w:r>
      <w:r w:rsidRPr="00785D93">
        <w:rPr>
          <w:highlight w:val="cyan"/>
        </w:rPr>
        <w:t>EUR 80 billion</w:t>
      </w:r>
      <w:r w:rsidRPr="000655AF">
        <w:t xml:space="preserve"> in current prices) of funding </w:t>
      </w:r>
      <w:r w:rsidRPr="00785D93">
        <w:rPr>
          <w:highlight w:val="yellow"/>
        </w:rPr>
        <w:t>over seven years</w:t>
      </w:r>
      <w:r w:rsidRPr="000655AF">
        <w:t xml:space="preserve">. The programme's </w:t>
      </w:r>
      <w:r w:rsidRPr="00DE11DE">
        <w:rPr>
          <w:highlight w:val="yellow"/>
        </w:rPr>
        <w:t xml:space="preserve">budget was cut by EUR 2.2 </w:t>
      </w:r>
      <w:proofErr w:type="gramStart"/>
      <w:r w:rsidRPr="00DE11DE">
        <w:rPr>
          <w:highlight w:val="yellow"/>
        </w:rPr>
        <w:t>billion</w:t>
      </w:r>
      <w:proofErr w:type="gramEnd"/>
      <w:r w:rsidRPr="000655AF">
        <w:t xml:space="preserve"> in 2015 so that these funds could be used </w:t>
      </w:r>
      <w:r w:rsidRPr="00DE11DE">
        <w:rPr>
          <w:highlight w:val="yellow"/>
        </w:rPr>
        <w:t>for the EFSI</w:t>
      </w:r>
      <w:r w:rsidRPr="000655AF">
        <w:t>.</w:t>
      </w:r>
    </w:p>
    <w:p w:rsidR="00143DC2" w:rsidRPr="000655AF" w:rsidRDefault="00143DC2" w:rsidP="0077555F"/>
    <w:p w:rsidR="00143DC2" w:rsidRPr="000655AF" w:rsidRDefault="00143DC2" w:rsidP="00BB172B">
      <w:pPr>
        <w:pStyle w:val="Naslov2"/>
        <w:ind w:left="567" w:hanging="567"/>
      </w:pPr>
      <w:r w:rsidRPr="000655AF">
        <w:t xml:space="preserve">Horizon 2020 has a </w:t>
      </w:r>
      <w:r w:rsidRPr="00DE11DE">
        <w:rPr>
          <w:highlight w:val="yellow"/>
        </w:rPr>
        <w:t>multi-faceted role in the strategy</w:t>
      </w:r>
      <w:r w:rsidRPr="000655AF">
        <w:t xml:space="preserve"> of the EU. </w:t>
      </w:r>
      <w:proofErr w:type="gramStart"/>
      <w:r w:rsidRPr="000655AF">
        <w:t xml:space="preserve">It is the financial instrument that implements </w:t>
      </w:r>
      <w:r w:rsidRPr="00DE11DE">
        <w:rPr>
          <w:highlight w:val="yellow"/>
        </w:rPr>
        <w:t>the Innovation Union</w:t>
      </w:r>
      <w:r w:rsidRPr="000655AF">
        <w:t>, a Europe 2020 flagship initiative aimed at securing Europe's global competitiveness.</w:t>
      </w:r>
      <w:proofErr w:type="gramEnd"/>
      <w:r w:rsidRPr="000655AF">
        <w:t xml:space="preserve"> It has its roots, however, in the Lisbon Treaty, notably Articles 179 et seq., which set the goal of achieving a European Research Area and task the European Union </w:t>
      </w:r>
      <w:r w:rsidR="00D13361" w:rsidRPr="000655AF">
        <w:t>"</w:t>
      </w:r>
      <w:r w:rsidRPr="000655AF">
        <w:t xml:space="preserve">with the implementation of research, technological development and demonstration </w:t>
      </w:r>
      <w:r w:rsidRPr="000655AF">
        <w:lastRenderedPageBreak/>
        <w:t>programmes, by promoting cooperation with and between undertakings, research centres and universities</w:t>
      </w:r>
      <w:r w:rsidR="00D13361" w:rsidRPr="000655AF">
        <w:t>"</w:t>
      </w:r>
      <w:r w:rsidRPr="000655AF">
        <w:t>.</w:t>
      </w:r>
    </w:p>
    <w:p w:rsidR="00143DC2" w:rsidRPr="000655AF" w:rsidRDefault="00143DC2"/>
    <w:p w:rsidR="00143DC2" w:rsidRPr="000655AF" w:rsidRDefault="00143DC2" w:rsidP="00BB172B">
      <w:pPr>
        <w:pStyle w:val="Naslov2"/>
        <w:ind w:left="567" w:hanging="567"/>
      </w:pPr>
      <w:r w:rsidRPr="000655AF">
        <w:t xml:space="preserve">Horizon 2020 </w:t>
      </w:r>
      <w:proofErr w:type="gramStart"/>
      <w:r w:rsidRPr="000655AF">
        <w:t>was established</w:t>
      </w:r>
      <w:proofErr w:type="gramEnd"/>
      <w:r w:rsidRPr="000655AF">
        <w:t xml:space="preserve"> in times of severe economic challenges and youth unemployment in Europe, and in consequence has put a much stronger emphasis on innovation than earlier EU research programmes. Innovation </w:t>
      </w:r>
      <w:proofErr w:type="gramStart"/>
      <w:r w:rsidRPr="000655AF">
        <w:t>is generally understood</w:t>
      </w:r>
      <w:proofErr w:type="gramEnd"/>
      <w:r w:rsidRPr="000655AF">
        <w:t xml:space="preserve"> in this context to be the commercial introduction of a new or significantly improved product</w:t>
      </w:r>
      <w:r w:rsidR="00531B97" w:rsidRPr="000655AF">
        <w:t>s and services</w:t>
      </w:r>
      <w:r w:rsidRPr="000655AF">
        <w:t>.</w:t>
      </w:r>
    </w:p>
    <w:p w:rsidR="00143DC2" w:rsidRPr="000655AF" w:rsidRDefault="00143DC2"/>
    <w:p w:rsidR="00143DC2" w:rsidRPr="000655AF" w:rsidRDefault="00143DC2" w:rsidP="00BB172B">
      <w:pPr>
        <w:pStyle w:val="Naslov2"/>
        <w:ind w:left="567" w:hanging="567"/>
      </w:pPr>
      <w:r w:rsidRPr="000655AF">
        <w:t xml:space="preserve">In this context, Horizon 2020, with its focus on economic growth, has also established </w:t>
      </w:r>
      <w:r w:rsidRPr="00DE11DE">
        <w:rPr>
          <w:highlight w:val="cyan"/>
        </w:rPr>
        <w:t>a new SME</w:t>
      </w:r>
      <w:r w:rsidR="00DE11DE">
        <w:rPr>
          <w:highlight w:val="cyan"/>
        </w:rPr>
        <w:t xml:space="preserve"> </w:t>
      </w:r>
      <w:r w:rsidR="00DE11DE" w:rsidRPr="00DE11DE">
        <w:t>(small and medium enterprises)</w:t>
      </w:r>
      <w:r w:rsidRPr="00DE11DE">
        <w:t xml:space="preserve"> </w:t>
      </w:r>
      <w:r w:rsidRPr="00DE11DE">
        <w:rPr>
          <w:highlight w:val="cyan"/>
        </w:rPr>
        <w:t>instrument</w:t>
      </w:r>
      <w:r w:rsidRPr="000655AF">
        <w:t xml:space="preserve"> specifically designed </w:t>
      </w:r>
      <w:r w:rsidRPr="00DE11DE">
        <w:rPr>
          <w:highlight w:val="yellow"/>
        </w:rPr>
        <w:t>to help individual SMEs to be more innovative</w:t>
      </w:r>
      <w:r w:rsidRPr="000655AF">
        <w:t xml:space="preserve">. Its aim is that </w:t>
      </w:r>
      <w:r w:rsidRPr="00DE11DE">
        <w:rPr>
          <w:highlight w:val="yellow"/>
        </w:rPr>
        <w:t>20</w:t>
      </w:r>
      <w:r w:rsidR="00D13361" w:rsidRPr="00DE11DE">
        <w:rPr>
          <w:highlight w:val="yellow"/>
        </w:rPr>
        <w:t>%</w:t>
      </w:r>
      <w:r w:rsidRPr="00DE11DE">
        <w:rPr>
          <w:highlight w:val="yellow"/>
        </w:rPr>
        <w:t xml:space="preserve"> of the funding in pillars 2 and 3 </w:t>
      </w:r>
      <w:proofErr w:type="gramStart"/>
      <w:r w:rsidRPr="00DE11DE">
        <w:rPr>
          <w:highlight w:val="yellow"/>
        </w:rPr>
        <w:t>will be absorbed</w:t>
      </w:r>
      <w:proofErr w:type="gramEnd"/>
      <w:r w:rsidRPr="00DE11DE">
        <w:rPr>
          <w:highlight w:val="yellow"/>
        </w:rPr>
        <w:t xml:space="preserve"> by SMEs</w:t>
      </w:r>
      <w:r w:rsidRPr="000655AF">
        <w:t xml:space="preserve"> and it places a stronger emphasis on financial instruments. </w:t>
      </w:r>
    </w:p>
    <w:p w:rsidR="00143DC2" w:rsidRPr="000655AF" w:rsidRDefault="00143DC2"/>
    <w:p w:rsidR="00143DC2" w:rsidRPr="000655AF" w:rsidRDefault="00143DC2" w:rsidP="00BB172B">
      <w:pPr>
        <w:pStyle w:val="Naslov1"/>
        <w:keepNext/>
        <w:ind w:left="567" w:hanging="567"/>
        <w:rPr>
          <w:b/>
        </w:rPr>
      </w:pPr>
      <w:r w:rsidRPr="000655AF">
        <w:rPr>
          <w:b/>
        </w:rPr>
        <w:t xml:space="preserve">From </w:t>
      </w:r>
      <w:r w:rsidR="00EB6723" w:rsidRPr="000655AF">
        <w:rPr>
          <w:b/>
        </w:rPr>
        <w:t>r</w:t>
      </w:r>
      <w:r w:rsidRPr="000655AF">
        <w:rPr>
          <w:b/>
        </w:rPr>
        <w:t xml:space="preserve">esearch to </w:t>
      </w:r>
      <w:r w:rsidR="00EB6723" w:rsidRPr="000655AF">
        <w:rPr>
          <w:b/>
        </w:rPr>
        <w:t>i</w:t>
      </w:r>
      <w:r w:rsidRPr="000655AF">
        <w:rPr>
          <w:b/>
        </w:rPr>
        <w:t>nnovation</w:t>
      </w:r>
    </w:p>
    <w:p w:rsidR="00143DC2" w:rsidRPr="000655AF" w:rsidRDefault="00143DC2" w:rsidP="002264E8">
      <w:pPr>
        <w:keepNext/>
      </w:pPr>
    </w:p>
    <w:p w:rsidR="00143DC2" w:rsidRPr="000655AF" w:rsidRDefault="00782F1C" w:rsidP="00BB172B">
      <w:pPr>
        <w:pStyle w:val="Naslov2"/>
        <w:ind w:left="567" w:hanging="567"/>
      </w:pPr>
      <w:r w:rsidRPr="000655AF">
        <w:t xml:space="preserve">The EESC acknowledges the success of Horizon 2020, and welcomes the shift </w:t>
      </w:r>
      <w:r w:rsidR="009858F4" w:rsidRPr="000655AF">
        <w:t>in</w:t>
      </w:r>
      <w:r w:rsidRPr="000655AF">
        <w:t xml:space="preserve"> focus </w:t>
      </w:r>
      <w:r w:rsidR="009858F4" w:rsidRPr="000655AF">
        <w:t>towards</w:t>
      </w:r>
      <w:r w:rsidRPr="000655AF">
        <w:t xml:space="preserve"> more innovation for a growing economy. </w:t>
      </w:r>
      <w:r w:rsidR="009858F4" w:rsidRPr="000655AF">
        <w:t>However,</w:t>
      </w:r>
      <w:r w:rsidRPr="000655AF">
        <w:t xml:space="preserve"> it also would like </w:t>
      </w:r>
      <w:r w:rsidRPr="001F6141">
        <w:rPr>
          <w:highlight w:val="yellow"/>
        </w:rPr>
        <w:t xml:space="preserve">to </w:t>
      </w:r>
      <w:r w:rsidR="009858F4" w:rsidRPr="001F6141">
        <w:rPr>
          <w:highlight w:val="yellow"/>
        </w:rPr>
        <w:t>highlight</w:t>
      </w:r>
      <w:r w:rsidRPr="001F6141">
        <w:rPr>
          <w:highlight w:val="yellow"/>
        </w:rPr>
        <w:t xml:space="preserve"> some dangers</w:t>
      </w:r>
      <w:r w:rsidRPr="000655AF">
        <w:t xml:space="preserve"> </w:t>
      </w:r>
      <w:r w:rsidR="009858F4" w:rsidRPr="001F6141">
        <w:rPr>
          <w:highlight w:val="yellow"/>
        </w:rPr>
        <w:t>concerning</w:t>
      </w:r>
      <w:r w:rsidRPr="001F6141">
        <w:rPr>
          <w:highlight w:val="yellow"/>
        </w:rPr>
        <w:t xml:space="preserve"> the research and innovation chain</w:t>
      </w:r>
      <w:r w:rsidR="009858F4" w:rsidRPr="000655AF">
        <w:t xml:space="preserve">, which </w:t>
      </w:r>
      <w:r w:rsidRPr="000655AF">
        <w:t>it feels could threaten this success</w:t>
      </w:r>
      <w:r w:rsidR="00143DC2" w:rsidRPr="000655AF">
        <w:t>.</w:t>
      </w:r>
    </w:p>
    <w:p w:rsidR="00143DC2" w:rsidRPr="000655AF" w:rsidRDefault="00143DC2"/>
    <w:p w:rsidR="00143DC2" w:rsidRPr="000655AF" w:rsidRDefault="00D50A03" w:rsidP="00BB172B">
      <w:pPr>
        <w:pStyle w:val="Naslov2"/>
        <w:ind w:left="567" w:hanging="567"/>
      </w:pPr>
      <w:r w:rsidRPr="000655AF">
        <w:t xml:space="preserve">The European Union needs to address the whole research and innovation chain, from fundamental to product-driven research. Only well-balanced support along this chain </w:t>
      </w:r>
      <w:r w:rsidR="009858F4" w:rsidRPr="000655AF">
        <w:t>will ensure</w:t>
      </w:r>
      <w:r w:rsidRPr="000655AF">
        <w:t xml:space="preserve"> that </w:t>
      </w:r>
      <w:r w:rsidR="009858F4" w:rsidRPr="000655AF">
        <w:t xml:space="preserve">the </w:t>
      </w:r>
      <w:proofErr w:type="gramStart"/>
      <w:r w:rsidRPr="000655AF">
        <w:t>know</w:t>
      </w:r>
      <w:r w:rsidR="00F055A3" w:rsidRPr="000655AF">
        <w:t>-</w:t>
      </w:r>
      <w:r w:rsidRPr="000655AF">
        <w:t>how</w:t>
      </w:r>
      <w:proofErr w:type="gramEnd"/>
      <w:r w:rsidRPr="000655AF">
        <w:t xml:space="preserve"> generation </w:t>
      </w:r>
      <w:r w:rsidR="009858F4" w:rsidRPr="000655AF">
        <w:t>results in</w:t>
      </w:r>
      <w:r w:rsidRPr="000655AF">
        <w:t xml:space="preserve"> </w:t>
      </w:r>
      <w:r w:rsidR="009858F4" w:rsidRPr="000655AF">
        <w:t>the application of</w:t>
      </w:r>
      <w:r w:rsidRPr="000655AF">
        <w:t xml:space="preserve"> </w:t>
      </w:r>
      <w:r w:rsidR="00D13361" w:rsidRPr="000655AF">
        <w:t>"</w:t>
      </w:r>
      <w:r w:rsidRPr="000655AF">
        <w:t>know</w:t>
      </w:r>
      <w:r w:rsidR="00F055A3" w:rsidRPr="000655AF">
        <w:t>-</w:t>
      </w:r>
      <w:r w:rsidRPr="000655AF">
        <w:t>how</w:t>
      </w:r>
      <w:r w:rsidR="00D13361" w:rsidRPr="000655AF">
        <w:t>"</w:t>
      </w:r>
      <w:r w:rsidRPr="000655AF">
        <w:t xml:space="preserve"> and eventually </w:t>
      </w:r>
      <w:r w:rsidR="001819CC" w:rsidRPr="000655AF">
        <w:t xml:space="preserve">societal and </w:t>
      </w:r>
      <w:r w:rsidRPr="000655AF">
        <w:t>economic benefits. The EESC calls for a careful evaluation to find a reasonable balance between the three funding pillars Excellent Science, Industrial Leadership and Societal Challenges</w:t>
      </w:r>
      <w:r w:rsidR="00836DB6" w:rsidRPr="000655AF">
        <w:t>,</w:t>
      </w:r>
      <w:r w:rsidRPr="000655AF">
        <w:t xml:space="preserve"> taking into account their differences in terms of impact, lead times, leverage effects and, in particular, their specific EU added values</w:t>
      </w:r>
      <w:r w:rsidR="00143DC2" w:rsidRPr="000655AF">
        <w:t>.</w:t>
      </w:r>
    </w:p>
    <w:p w:rsidR="00143DC2" w:rsidRPr="000655AF" w:rsidRDefault="00143DC2"/>
    <w:p w:rsidR="00D96EF3" w:rsidRPr="000655AF" w:rsidRDefault="00143DC2" w:rsidP="00BB172B">
      <w:pPr>
        <w:pStyle w:val="Naslov2"/>
        <w:ind w:left="567" w:hanging="567"/>
      </w:pPr>
      <w:r w:rsidRPr="00740EEF">
        <w:rPr>
          <w:highlight w:val="cyan"/>
        </w:rPr>
        <w:t>Fundamental research</w:t>
      </w:r>
      <w:r w:rsidRPr="000655AF">
        <w:t xml:space="preserve"> in Europe is </w:t>
      </w:r>
      <w:r w:rsidRPr="00740EEF">
        <w:rPr>
          <w:highlight w:val="yellow"/>
        </w:rPr>
        <w:t>extremely successful</w:t>
      </w:r>
      <w:r w:rsidRPr="000655AF">
        <w:t xml:space="preserve">. The bottom-up funding from FET, the MSCAs and the ERC </w:t>
      </w:r>
      <w:proofErr w:type="gramStart"/>
      <w:r w:rsidRPr="000655AF">
        <w:t>should definitely be maintained</w:t>
      </w:r>
      <w:proofErr w:type="gramEnd"/>
      <w:r w:rsidRPr="000655AF">
        <w:t xml:space="preserve"> at a high level. The ERC grants in particular </w:t>
      </w:r>
      <w:proofErr w:type="gramStart"/>
      <w:r w:rsidRPr="000655AF">
        <w:t>are held</w:t>
      </w:r>
      <w:proofErr w:type="gramEnd"/>
      <w:r w:rsidRPr="000655AF">
        <w:t xml:space="preserve"> in high esteem: they are viewed as </w:t>
      </w:r>
      <w:r w:rsidRPr="00580D68">
        <w:rPr>
          <w:highlight w:val="yellow"/>
        </w:rPr>
        <w:t>high-level awards for individual researchers</w:t>
      </w:r>
      <w:r w:rsidRPr="000655AF">
        <w:t xml:space="preserve">, and function as a Europe-wide benchmark. </w:t>
      </w:r>
    </w:p>
    <w:p w:rsidR="00D96EF3" w:rsidRPr="000655AF" w:rsidRDefault="00D96EF3" w:rsidP="002264E8"/>
    <w:p w:rsidR="00143DC2" w:rsidRPr="000655AF" w:rsidRDefault="00DF64BA" w:rsidP="00BB172B">
      <w:pPr>
        <w:pStyle w:val="Naslov2"/>
        <w:ind w:left="567" w:hanging="567"/>
      </w:pPr>
      <w:r w:rsidRPr="000655AF">
        <w:t>W</w:t>
      </w:r>
      <w:r w:rsidR="00143DC2" w:rsidRPr="000655AF">
        <w:t xml:space="preserve">e should also note that </w:t>
      </w:r>
      <w:r w:rsidR="00143DC2" w:rsidRPr="00580D68">
        <w:rPr>
          <w:highlight w:val="yellow"/>
        </w:rPr>
        <w:t xml:space="preserve">modern research </w:t>
      </w:r>
      <w:proofErr w:type="gramStart"/>
      <w:r w:rsidR="00143DC2" w:rsidRPr="00580D68">
        <w:rPr>
          <w:highlight w:val="yellow"/>
        </w:rPr>
        <w:t>is largely carried out</w:t>
      </w:r>
      <w:proofErr w:type="gramEnd"/>
      <w:r w:rsidR="00143DC2" w:rsidRPr="00580D68">
        <w:rPr>
          <w:highlight w:val="yellow"/>
        </w:rPr>
        <w:t xml:space="preserve"> in collaboration</w:t>
      </w:r>
      <w:r w:rsidR="00143DC2" w:rsidRPr="000655AF">
        <w:t xml:space="preserve">. Therefore, irrespective of the importance of supporting individual researchers, we deplore the fact that funding for </w:t>
      </w:r>
      <w:r w:rsidR="00143DC2" w:rsidRPr="00580D68">
        <w:rPr>
          <w:highlight w:val="yellow"/>
        </w:rPr>
        <w:t>collaborative basic research</w:t>
      </w:r>
      <w:r w:rsidR="00143DC2" w:rsidRPr="000655AF">
        <w:t xml:space="preserve"> </w:t>
      </w:r>
      <w:proofErr w:type="gramStart"/>
      <w:r w:rsidR="00143DC2" w:rsidRPr="000655AF">
        <w:t xml:space="preserve">has been significantly </w:t>
      </w:r>
      <w:r w:rsidR="00143DC2" w:rsidRPr="00580D68">
        <w:rPr>
          <w:highlight w:val="yellow"/>
        </w:rPr>
        <w:t>reduced</w:t>
      </w:r>
      <w:proofErr w:type="gramEnd"/>
      <w:r w:rsidR="00143DC2" w:rsidRPr="000655AF">
        <w:t xml:space="preserve"> in Horizon 2020.</w:t>
      </w:r>
    </w:p>
    <w:p w:rsidR="00143DC2" w:rsidRPr="000655AF" w:rsidRDefault="00143DC2"/>
    <w:p w:rsidR="00143DC2" w:rsidRPr="000655AF" w:rsidRDefault="00143DC2" w:rsidP="00BB172B">
      <w:pPr>
        <w:pStyle w:val="Naslov2"/>
        <w:ind w:left="567" w:hanging="567"/>
      </w:pPr>
      <w:r w:rsidRPr="00580D68">
        <w:rPr>
          <w:highlight w:val="cyan"/>
        </w:rPr>
        <w:t>Basic research</w:t>
      </w:r>
      <w:r w:rsidRPr="000655AF">
        <w:t xml:space="preserve"> that has </w:t>
      </w:r>
      <w:r w:rsidRPr="00580D68">
        <w:rPr>
          <w:highlight w:val="yellow"/>
        </w:rPr>
        <w:t xml:space="preserve">a long </w:t>
      </w:r>
      <w:proofErr w:type="gramStart"/>
      <w:r w:rsidRPr="00580D68">
        <w:rPr>
          <w:highlight w:val="yellow"/>
        </w:rPr>
        <w:t>lead time</w:t>
      </w:r>
      <w:proofErr w:type="gramEnd"/>
      <w:r w:rsidRPr="000655AF">
        <w:t xml:space="preserve"> before innovation is achieved, and </w:t>
      </w:r>
      <w:r w:rsidRPr="00580D68">
        <w:rPr>
          <w:highlight w:val="yellow"/>
        </w:rPr>
        <w:t xml:space="preserve">that </w:t>
      </w:r>
      <w:r w:rsidR="00CB68CC" w:rsidRPr="00580D68">
        <w:rPr>
          <w:highlight w:val="yellow"/>
        </w:rPr>
        <w:t xml:space="preserve">is </w:t>
      </w:r>
      <w:r w:rsidRPr="00580D68">
        <w:rPr>
          <w:highlight w:val="yellow"/>
        </w:rPr>
        <w:t>chiefly motivated by societal challenges</w:t>
      </w:r>
      <w:r w:rsidRPr="000655AF">
        <w:t xml:space="preserve">, is for the most part </w:t>
      </w:r>
      <w:r w:rsidRPr="00580D68">
        <w:rPr>
          <w:highlight w:val="yellow"/>
        </w:rPr>
        <w:t>not covered by the ERC</w:t>
      </w:r>
      <w:r w:rsidRPr="000655AF">
        <w:t xml:space="preserve">. This type of collaborative research </w:t>
      </w:r>
      <w:r w:rsidRPr="00580D68">
        <w:rPr>
          <w:highlight w:val="yellow"/>
        </w:rPr>
        <w:t>was very successful</w:t>
      </w:r>
      <w:r w:rsidRPr="000655AF">
        <w:t xml:space="preserve"> in earlier framework programmes, but with Horizon </w:t>
      </w:r>
      <w:proofErr w:type="gramStart"/>
      <w:r w:rsidRPr="000655AF">
        <w:t>2020</w:t>
      </w:r>
      <w:proofErr w:type="gramEnd"/>
      <w:r w:rsidRPr="000655AF">
        <w:t xml:space="preserve"> </w:t>
      </w:r>
      <w:r w:rsidRPr="00580D68">
        <w:rPr>
          <w:highlight w:val="yellow"/>
        </w:rPr>
        <w:t>it lost much of its importance</w:t>
      </w:r>
      <w:r w:rsidRPr="000655AF">
        <w:t xml:space="preserve">. </w:t>
      </w:r>
      <w:r w:rsidRPr="00580D68">
        <w:rPr>
          <w:highlight w:val="cyan"/>
        </w:rPr>
        <w:t>Societal challenges</w:t>
      </w:r>
      <w:r w:rsidRPr="000655AF">
        <w:t xml:space="preserve"> </w:t>
      </w:r>
      <w:proofErr w:type="gramStart"/>
      <w:r w:rsidRPr="000655AF">
        <w:t xml:space="preserve">were </w:t>
      </w:r>
      <w:r w:rsidR="005502ED" w:rsidRPr="000655AF">
        <w:t>reduced</w:t>
      </w:r>
      <w:proofErr w:type="gramEnd"/>
      <w:r w:rsidR="005502ED" w:rsidRPr="000655AF">
        <w:t xml:space="preserve"> by 3.5</w:t>
      </w:r>
      <w:r w:rsidR="00D13361" w:rsidRPr="000655AF">
        <w:t>%</w:t>
      </w:r>
      <w:r w:rsidR="005502ED" w:rsidRPr="000655AF">
        <w:t xml:space="preserve"> in order to finance EFSI and collaborative research in the lower Technology Readiness Levels (TRL) 1-5 lost ground to higher TRL</w:t>
      </w:r>
      <w:r w:rsidR="00CB68CC" w:rsidRPr="000655AF">
        <w:t>s</w:t>
      </w:r>
      <w:r w:rsidR="005502ED" w:rsidRPr="000655AF">
        <w:t xml:space="preserve">. This has driven many universities and research organisations </w:t>
      </w:r>
      <w:r w:rsidR="005502ED" w:rsidRPr="00580D68">
        <w:rPr>
          <w:highlight w:val="yellow"/>
        </w:rPr>
        <w:t>away from research on societal challenges</w:t>
      </w:r>
      <w:r w:rsidR="005502ED" w:rsidRPr="000655AF">
        <w:t xml:space="preserve"> wi</w:t>
      </w:r>
      <w:r w:rsidR="004B1ABF" w:rsidRPr="000655AF">
        <w:t>th the effect that i</w:t>
      </w:r>
      <w:r w:rsidRPr="000655AF">
        <w:t xml:space="preserve">nteraction between industry and academia </w:t>
      </w:r>
      <w:proofErr w:type="gramStart"/>
      <w:r w:rsidRPr="000655AF">
        <w:t>has been reduced rather than strengthened</w:t>
      </w:r>
      <w:proofErr w:type="gramEnd"/>
      <w:r w:rsidRPr="000655AF">
        <w:t>. The EESC urges the Commission to address this worrying development.</w:t>
      </w:r>
      <w:r w:rsidR="00D13361" w:rsidRPr="000655AF">
        <w:t xml:space="preserve"> </w:t>
      </w:r>
      <w:r w:rsidRPr="000655AF">
        <w:t xml:space="preserve">It is of vital importance that funding for </w:t>
      </w:r>
      <w:r w:rsidR="00A44D49" w:rsidRPr="000655AF">
        <w:t>S</w:t>
      </w:r>
      <w:r w:rsidRPr="000655AF">
        <w:t xml:space="preserve">ocietal </w:t>
      </w:r>
      <w:r w:rsidR="00A44D49" w:rsidRPr="000655AF">
        <w:t>C</w:t>
      </w:r>
      <w:r w:rsidRPr="000655AF">
        <w:t xml:space="preserve">hallenges </w:t>
      </w:r>
      <w:proofErr w:type="gramStart"/>
      <w:r w:rsidRPr="000655AF">
        <w:t>is restored</w:t>
      </w:r>
      <w:proofErr w:type="gramEnd"/>
      <w:r w:rsidRPr="000655AF">
        <w:t xml:space="preserve"> and research in TRLs 1-</w:t>
      </w:r>
      <w:r w:rsidR="004B1ABF" w:rsidRPr="000655AF">
        <w:t>5</w:t>
      </w:r>
      <w:r w:rsidRPr="000655AF">
        <w:t xml:space="preserve"> is included more prominently in the Horizon 2020 </w:t>
      </w:r>
      <w:r w:rsidR="007257B6" w:rsidRPr="000655AF">
        <w:t>S</w:t>
      </w:r>
      <w:r w:rsidRPr="000655AF">
        <w:t xml:space="preserve">ocietal </w:t>
      </w:r>
      <w:r w:rsidR="007257B6" w:rsidRPr="000655AF">
        <w:lastRenderedPageBreak/>
        <w:t>C</w:t>
      </w:r>
      <w:r w:rsidRPr="000655AF">
        <w:t>hallenges in order to cover the entire research and innovation cycle</w:t>
      </w:r>
      <w:r w:rsidR="00DA0F7C" w:rsidRPr="000655AF">
        <w:t xml:space="preserve">. </w:t>
      </w:r>
      <w:r w:rsidR="005E6F31" w:rsidRPr="000655AF">
        <w:t xml:space="preserve">In this </w:t>
      </w:r>
      <w:proofErr w:type="gramStart"/>
      <w:r w:rsidR="005E6F31" w:rsidRPr="000655AF">
        <w:t>context</w:t>
      </w:r>
      <w:proofErr w:type="gramEnd"/>
      <w:r w:rsidR="005E6F31" w:rsidRPr="000655AF">
        <w:t xml:space="preserve"> it remains of great importance that the Commission liaises with stakeholders </w:t>
      </w:r>
      <w:r w:rsidR="00836DB6" w:rsidRPr="000655AF">
        <w:t xml:space="preserve">when developing the </w:t>
      </w:r>
      <w:r w:rsidR="005E6F31" w:rsidRPr="000655AF">
        <w:t xml:space="preserve">details </w:t>
      </w:r>
      <w:r w:rsidR="00836DB6" w:rsidRPr="000655AF">
        <w:t>of what</w:t>
      </w:r>
      <w:r w:rsidR="005E6F31" w:rsidRPr="000655AF">
        <w:t xml:space="preserve"> </w:t>
      </w:r>
      <w:r w:rsidR="004C1629" w:rsidRPr="000655AF">
        <w:t>S</w:t>
      </w:r>
      <w:r w:rsidR="005E6F31" w:rsidRPr="000655AF">
        <w:t xml:space="preserve">ocietal </w:t>
      </w:r>
      <w:r w:rsidR="004C1629" w:rsidRPr="000655AF">
        <w:t>C</w:t>
      </w:r>
      <w:r w:rsidR="005E6F31" w:rsidRPr="000655AF">
        <w:t xml:space="preserve">hallenges will look like </w:t>
      </w:r>
      <w:r w:rsidR="00836DB6" w:rsidRPr="000655AF">
        <w:t>at</w:t>
      </w:r>
      <w:r w:rsidR="005E6F31" w:rsidRPr="000655AF">
        <w:t xml:space="preserve"> work programme level</w:t>
      </w:r>
      <w:r w:rsidRPr="000655AF">
        <w:t>.</w:t>
      </w:r>
    </w:p>
    <w:p w:rsidR="00143DC2" w:rsidRPr="000655AF" w:rsidRDefault="00143DC2"/>
    <w:p w:rsidR="00143DC2" w:rsidRPr="000655AF" w:rsidRDefault="00143DC2" w:rsidP="00BB172B">
      <w:pPr>
        <w:pStyle w:val="Naslov2"/>
        <w:ind w:left="567" w:hanging="567"/>
      </w:pPr>
      <w:r w:rsidRPr="000655AF">
        <w:t xml:space="preserve">The EESC welcomes the fact that innovation </w:t>
      </w:r>
      <w:r w:rsidR="00CB68CC" w:rsidRPr="000655AF">
        <w:t xml:space="preserve">carries </w:t>
      </w:r>
      <w:r w:rsidRPr="000655AF">
        <w:t>more weight in Horizon 2020. Innovation is key to economic growth</w:t>
      </w:r>
      <w:r w:rsidR="00EC031E" w:rsidRPr="000655AF">
        <w:t xml:space="preserve">. </w:t>
      </w:r>
      <w:r w:rsidR="00EC031E" w:rsidRPr="00FD4504">
        <w:rPr>
          <w:highlight w:val="yellow"/>
        </w:rPr>
        <w:t>The newly introduced SME instrument</w:t>
      </w:r>
      <w:r w:rsidR="00EC031E" w:rsidRPr="000655AF">
        <w:t xml:space="preserve"> is a </w:t>
      </w:r>
      <w:r w:rsidR="00EC031E" w:rsidRPr="00FD4504">
        <w:rPr>
          <w:highlight w:val="yellow"/>
        </w:rPr>
        <w:t>positive example</w:t>
      </w:r>
      <w:r w:rsidR="00EC031E" w:rsidRPr="000655AF">
        <w:t xml:space="preserve"> </w:t>
      </w:r>
      <w:r w:rsidR="00CB68CC" w:rsidRPr="000655AF">
        <w:t>of</w:t>
      </w:r>
      <w:r w:rsidR="00EC031E" w:rsidRPr="000655AF">
        <w:t xml:space="preserve"> an efficient application, selection and monitoring process. The </w:t>
      </w:r>
      <w:r w:rsidR="00EC031E" w:rsidRPr="002C5B1D">
        <w:rPr>
          <w:highlight w:val="yellow"/>
        </w:rPr>
        <w:t>success</w:t>
      </w:r>
      <w:r w:rsidR="00EC031E" w:rsidRPr="000655AF">
        <w:t xml:space="preserve"> of this instrument </w:t>
      </w:r>
      <w:proofErr w:type="gramStart"/>
      <w:r w:rsidR="00EC031E" w:rsidRPr="000655AF">
        <w:t>can be seen</w:t>
      </w:r>
      <w:proofErr w:type="gramEnd"/>
      <w:r w:rsidR="00EC031E" w:rsidRPr="000655AF">
        <w:t xml:space="preserve"> from the fact that the original </w:t>
      </w:r>
      <w:r w:rsidR="00EC031E" w:rsidRPr="002C5B1D">
        <w:rPr>
          <w:highlight w:val="yellow"/>
        </w:rPr>
        <w:t xml:space="preserve">goal of </w:t>
      </w:r>
      <w:r w:rsidR="00CB68CC" w:rsidRPr="002C5B1D">
        <w:rPr>
          <w:highlight w:val="yellow"/>
        </w:rPr>
        <w:t xml:space="preserve">a </w:t>
      </w:r>
      <w:r w:rsidR="00EC031E" w:rsidRPr="002C5B1D">
        <w:rPr>
          <w:highlight w:val="yellow"/>
        </w:rPr>
        <w:t>20</w:t>
      </w:r>
      <w:r w:rsidR="00D13361" w:rsidRPr="002C5B1D">
        <w:rPr>
          <w:highlight w:val="yellow"/>
        </w:rPr>
        <w:t>%</w:t>
      </w:r>
      <w:r w:rsidR="00EC031E" w:rsidRPr="002C5B1D">
        <w:rPr>
          <w:highlight w:val="yellow"/>
        </w:rPr>
        <w:t xml:space="preserve"> budget share for SMEs has already been exceeded</w:t>
      </w:r>
      <w:r w:rsidR="00EC031E" w:rsidRPr="000655AF">
        <w:t xml:space="preserve">. The evaluation </w:t>
      </w:r>
      <w:r w:rsidR="00CB68CC" w:rsidRPr="000655AF">
        <w:t>should</w:t>
      </w:r>
      <w:r w:rsidR="00EC031E" w:rsidRPr="000655AF">
        <w:t xml:space="preserve"> analyse the impact and effectiveness of this instrument </w:t>
      </w:r>
      <w:r w:rsidR="00E8150D" w:rsidRPr="000655AF">
        <w:t>in relation to</w:t>
      </w:r>
      <w:r w:rsidR="00EC031E" w:rsidRPr="000655AF">
        <w:t xml:space="preserve"> the different types of SMEs and </w:t>
      </w:r>
      <w:r w:rsidR="00EC031E" w:rsidRPr="002C5B1D">
        <w:rPr>
          <w:highlight w:val="yellow"/>
        </w:rPr>
        <w:t>the</w:t>
      </w:r>
      <w:r w:rsidR="00CB68CC" w:rsidRPr="002C5B1D">
        <w:rPr>
          <w:highlight w:val="yellow"/>
        </w:rPr>
        <w:t>ir</w:t>
      </w:r>
      <w:r w:rsidR="00EC031E" w:rsidRPr="002C5B1D">
        <w:rPr>
          <w:highlight w:val="yellow"/>
        </w:rPr>
        <w:t xml:space="preserve"> reasons for applying as a single business</w:t>
      </w:r>
      <w:r w:rsidR="00EC031E" w:rsidRPr="000655AF">
        <w:t xml:space="preserve"> (as most of them</w:t>
      </w:r>
      <w:r w:rsidR="00CB68CC" w:rsidRPr="000655AF">
        <w:t xml:space="preserve"> do</w:t>
      </w:r>
      <w:r w:rsidR="00EC031E" w:rsidRPr="000655AF">
        <w:t xml:space="preserve">) </w:t>
      </w:r>
      <w:r w:rsidR="00EC031E" w:rsidRPr="002C5B1D">
        <w:rPr>
          <w:highlight w:val="yellow"/>
        </w:rPr>
        <w:t>or as a consortium (national or EU-wide)</w:t>
      </w:r>
      <w:r w:rsidR="00EC031E" w:rsidRPr="000655AF">
        <w:t xml:space="preserve">. Care </w:t>
      </w:r>
      <w:proofErr w:type="gramStart"/>
      <w:r w:rsidR="00EC031E" w:rsidRPr="000655AF">
        <w:t>should also be taken</w:t>
      </w:r>
      <w:proofErr w:type="gramEnd"/>
      <w:r w:rsidR="00EC031E" w:rsidRPr="000655AF">
        <w:t xml:space="preserve"> to analyse </w:t>
      </w:r>
      <w:r w:rsidR="00E8150D" w:rsidRPr="000655AF">
        <w:t>the</w:t>
      </w:r>
      <w:r w:rsidR="00EC031E" w:rsidRPr="000655AF">
        <w:t xml:space="preserve"> extent</w:t>
      </w:r>
      <w:r w:rsidR="00E8150D" w:rsidRPr="000655AF">
        <w:t xml:space="preserve"> to which</w:t>
      </w:r>
      <w:r w:rsidR="00EC031E" w:rsidRPr="000655AF">
        <w:t xml:space="preserve"> a decrease in national funding for SME correlates with request</w:t>
      </w:r>
      <w:r w:rsidR="00E8150D" w:rsidRPr="000655AF">
        <w:t>s</w:t>
      </w:r>
      <w:r w:rsidR="00EC031E" w:rsidRPr="000655AF">
        <w:t xml:space="preserve"> for funding at EU level. It is vital that SME funding also remains accessible to SME</w:t>
      </w:r>
      <w:r w:rsidR="00E8150D" w:rsidRPr="000655AF">
        <w:t>s</w:t>
      </w:r>
      <w:r w:rsidR="00EC031E" w:rsidRPr="000655AF">
        <w:t xml:space="preserve"> at regional and local level and </w:t>
      </w:r>
      <w:r w:rsidR="00E8150D" w:rsidRPr="000655AF">
        <w:t xml:space="preserve">that </w:t>
      </w:r>
      <w:r w:rsidR="00EC031E" w:rsidRPr="000655AF">
        <w:t xml:space="preserve">EU funding </w:t>
      </w:r>
      <w:proofErr w:type="gramStart"/>
      <w:r w:rsidR="00EC031E" w:rsidRPr="000655AF">
        <w:t>is not used</w:t>
      </w:r>
      <w:proofErr w:type="gramEnd"/>
      <w:r w:rsidR="00EC031E" w:rsidRPr="000655AF">
        <w:t xml:space="preserve"> to justify cuts to this major source of support at the local level</w:t>
      </w:r>
      <w:r w:rsidRPr="000655AF">
        <w:t>.</w:t>
      </w:r>
    </w:p>
    <w:p w:rsidR="00DB309C" w:rsidRPr="000655AF" w:rsidRDefault="00DB309C"/>
    <w:p w:rsidR="00143DC2" w:rsidRPr="000655AF" w:rsidRDefault="00143DC2" w:rsidP="00BB172B">
      <w:pPr>
        <w:pStyle w:val="Naslov2"/>
        <w:ind w:left="567" w:hanging="567"/>
      </w:pPr>
      <w:r w:rsidRPr="002C5B1D">
        <w:rPr>
          <w:highlight w:val="cyan"/>
        </w:rPr>
        <w:t>Industry participation</w:t>
      </w:r>
      <w:r w:rsidRPr="000655AF">
        <w:t xml:space="preserve"> is vital for the success of Horizon 2020. </w:t>
      </w:r>
      <w:r w:rsidR="006867C0" w:rsidRPr="000655AF">
        <w:t xml:space="preserve">It is evident that the </w:t>
      </w:r>
      <w:r w:rsidR="00E8150D" w:rsidRPr="000655AF">
        <w:t>total</w:t>
      </w:r>
      <w:r w:rsidR="006867C0" w:rsidRPr="000655AF">
        <w:t xml:space="preserve"> amount of funding from Horizon 2020 for industries is </w:t>
      </w:r>
      <w:r w:rsidR="006867C0" w:rsidRPr="002C5B1D">
        <w:rPr>
          <w:highlight w:val="yellow"/>
        </w:rPr>
        <w:t>less significant</w:t>
      </w:r>
      <w:r w:rsidR="006867C0" w:rsidRPr="000655AF">
        <w:t xml:space="preserve"> in relation to </w:t>
      </w:r>
      <w:r w:rsidR="00B44ED8" w:rsidRPr="000655AF">
        <w:t>industry</w:t>
      </w:r>
      <w:r w:rsidR="006867C0" w:rsidRPr="000655AF">
        <w:t xml:space="preserve"> spending </w:t>
      </w:r>
      <w:r w:rsidR="00B44ED8" w:rsidRPr="000655AF">
        <w:t>on</w:t>
      </w:r>
      <w:r w:rsidR="006867C0" w:rsidRPr="000655AF">
        <w:t xml:space="preserve"> </w:t>
      </w:r>
      <w:proofErr w:type="gramStart"/>
      <w:r w:rsidR="006867C0" w:rsidRPr="000655AF">
        <w:t>R&amp;I</w:t>
      </w:r>
      <w:proofErr w:type="gramEnd"/>
      <w:r w:rsidRPr="000655AF">
        <w:t xml:space="preserve">. The main benefits </w:t>
      </w:r>
      <w:r w:rsidR="002D729B" w:rsidRPr="000655AF">
        <w:t xml:space="preserve">for industry partners </w:t>
      </w:r>
      <w:proofErr w:type="gramStart"/>
      <w:r w:rsidR="00E8150D" w:rsidRPr="000655AF">
        <w:t xml:space="preserve">can be </w:t>
      </w:r>
      <w:r w:rsidRPr="000655AF">
        <w:t>seen</w:t>
      </w:r>
      <w:proofErr w:type="gramEnd"/>
      <w:r w:rsidRPr="000655AF">
        <w:t xml:space="preserve"> in</w:t>
      </w:r>
      <w:r w:rsidR="00E8150D" w:rsidRPr="000655AF">
        <w:t xml:space="preserve"> terms of</w:t>
      </w:r>
      <w:r w:rsidRPr="000655AF">
        <w:t xml:space="preserve"> </w:t>
      </w:r>
      <w:r w:rsidRPr="002C5B1D">
        <w:rPr>
          <w:highlight w:val="yellow"/>
        </w:rPr>
        <w:t>network building</w:t>
      </w:r>
      <w:r w:rsidRPr="000655AF">
        <w:t xml:space="preserve">, </w:t>
      </w:r>
      <w:r w:rsidRPr="002C5B1D">
        <w:rPr>
          <w:highlight w:val="yellow"/>
        </w:rPr>
        <w:t>new</w:t>
      </w:r>
      <w:r w:rsidRPr="000655AF">
        <w:t xml:space="preserve"> </w:t>
      </w:r>
      <w:r w:rsidRPr="002C5B1D">
        <w:rPr>
          <w:highlight w:val="yellow"/>
        </w:rPr>
        <w:t>links to universities, research organisations and other stakeholders such as cities</w:t>
      </w:r>
      <w:r w:rsidRPr="000655AF">
        <w:t xml:space="preserve">. EU projects play a significant role in providing critical mass for developing new standards and in </w:t>
      </w:r>
      <w:r w:rsidRPr="002C5B1D">
        <w:rPr>
          <w:highlight w:val="yellow"/>
        </w:rPr>
        <w:t>supplying</w:t>
      </w:r>
      <w:r w:rsidRPr="000655AF">
        <w:t xml:space="preserve"> </w:t>
      </w:r>
      <w:r w:rsidRPr="002C5B1D">
        <w:rPr>
          <w:highlight w:val="yellow"/>
        </w:rPr>
        <w:t>industry with new expertise, new clients and markets and new talents</w:t>
      </w:r>
      <w:r w:rsidRPr="000655AF">
        <w:t>. This beneficial effect for Europe</w:t>
      </w:r>
      <w:r w:rsidR="00EB6723" w:rsidRPr="000655AF">
        <w:t>'</w:t>
      </w:r>
      <w:r w:rsidRPr="000655AF">
        <w:t xml:space="preserve">s competitiveness </w:t>
      </w:r>
      <w:proofErr w:type="gramStart"/>
      <w:r w:rsidRPr="000655AF">
        <w:t>should be fostered</w:t>
      </w:r>
      <w:proofErr w:type="gramEnd"/>
      <w:r w:rsidRPr="000655AF">
        <w:t xml:space="preserve"> further. It must be noted that </w:t>
      </w:r>
      <w:r w:rsidRPr="002C5B1D">
        <w:rPr>
          <w:highlight w:val="yellow"/>
        </w:rPr>
        <w:t>indicators of success such as the number of new jobs are not yet applicable</w:t>
      </w:r>
      <w:r w:rsidRPr="000655AF">
        <w:t xml:space="preserve"> to Horizon 2020 in view of the </w:t>
      </w:r>
      <w:proofErr w:type="gramStart"/>
      <w:r w:rsidRPr="000655AF">
        <w:t>lead time</w:t>
      </w:r>
      <w:proofErr w:type="gramEnd"/>
      <w:r w:rsidRPr="000655AF">
        <w:t xml:space="preserve"> for innovation and job creation.</w:t>
      </w:r>
    </w:p>
    <w:p w:rsidR="00143DC2" w:rsidRPr="000655AF" w:rsidRDefault="00143DC2"/>
    <w:p w:rsidR="00B33B0E" w:rsidRPr="000655AF" w:rsidRDefault="00177DE6" w:rsidP="00BB172B">
      <w:pPr>
        <w:pStyle w:val="Naslov2"/>
        <w:ind w:left="567" w:hanging="567"/>
      </w:pPr>
      <w:r w:rsidRPr="000655AF">
        <w:t xml:space="preserve">The EESC </w:t>
      </w:r>
      <w:r w:rsidR="0029477F" w:rsidRPr="000655AF">
        <w:t>is following</w:t>
      </w:r>
      <w:r w:rsidRPr="000655AF">
        <w:t xml:space="preserve"> with great interest the </w:t>
      </w:r>
      <w:r w:rsidRPr="002C5B1D">
        <w:rPr>
          <w:highlight w:val="yellow"/>
        </w:rPr>
        <w:t xml:space="preserve">performance of the </w:t>
      </w:r>
      <w:r w:rsidRPr="002C5B1D">
        <w:rPr>
          <w:highlight w:val="cyan"/>
        </w:rPr>
        <w:t>European Institute of Innovation and Technology (EIT)</w:t>
      </w:r>
      <w:r w:rsidRPr="000655AF">
        <w:t>. Europe ne</w:t>
      </w:r>
      <w:r w:rsidR="00DF2A58" w:rsidRPr="000655AF">
        <w:t>eds strong interaction between industry, research and e</w:t>
      </w:r>
      <w:r w:rsidRPr="000655AF">
        <w:t>ducation, which is the main aim of the EIT. According to the special report of the Court of Auditors (April 2016)</w:t>
      </w:r>
      <w:r w:rsidR="001F7296" w:rsidRPr="000655AF">
        <w:t>,</w:t>
      </w:r>
      <w:r w:rsidRPr="000655AF">
        <w:t xml:space="preserve"> the EIT however faces </w:t>
      </w:r>
      <w:r w:rsidRPr="002C5B1D">
        <w:rPr>
          <w:highlight w:val="yellow"/>
        </w:rPr>
        <w:t>several significant challenges</w:t>
      </w:r>
      <w:r w:rsidRPr="000655AF">
        <w:t xml:space="preserve">. Although some of them </w:t>
      </w:r>
      <w:proofErr w:type="gramStart"/>
      <w:r w:rsidRPr="000655AF">
        <w:t>have already been tackled</w:t>
      </w:r>
      <w:proofErr w:type="gramEnd"/>
      <w:r w:rsidRPr="000655AF">
        <w:t xml:space="preserve"> recently</w:t>
      </w:r>
      <w:r w:rsidR="006F518E" w:rsidRPr="000655AF">
        <w:t>,</w:t>
      </w:r>
      <w:r w:rsidRPr="000655AF">
        <w:t xml:space="preserve"> we expect that the interim evaluation will lead to significant overall </w:t>
      </w:r>
      <w:r w:rsidR="00DF2A58" w:rsidRPr="000655AF">
        <w:t>improvements in</w:t>
      </w:r>
      <w:r w:rsidRPr="000655AF">
        <w:t xml:space="preserve"> the EIT</w:t>
      </w:r>
      <w:r w:rsidR="00B33B0E" w:rsidRPr="000655AF">
        <w:t xml:space="preserve">. </w:t>
      </w:r>
    </w:p>
    <w:p w:rsidR="005A11CA" w:rsidRPr="000655AF" w:rsidRDefault="005A11CA"/>
    <w:p w:rsidR="005A11CA" w:rsidRPr="000655AF" w:rsidRDefault="005A11CA" w:rsidP="00BB172B">
      <w:pPr>
        <w:pStyle w:val="Naslov2"/>
        <w:ind w:left="567" w:hanging="567"/>
      </w:pPr>
      <w:proofErr w:type="gramStart"/>
      <w:r w:rsidRPr="000655AF">
        <w:t xml:space="preserve">A discussion about the scope and establishment of a </w:t>
      </w:r>
      <w:r w:rsidRPr="002C5B1D">
        <w:rPr>
          <w:highlight w:val="cyan"/>
        </w:rPr>
        <w:t>European Innovation Council (EIC)</w:t>
      </w:r>
      <w:r w:rsidRPr="000655AF">
        <w:t xml:space="preserve"> has been initiated by the Commission</w:t>
      </w:r>
      <w:proofErr w:type="gramEnd"/>
      <w:r w:rsidRPr="000655AF">
        <w:t xml:space="preserve">. The EIC is supposed </w:t>
      </w:r>
      <w:proofErr w:type="gramStart"/>
      <w:r w:rsidRPr="000655AF">
        <w:t>t</w:t>
      </w:r>
      <w:r w:rsidRPr="002C5B1D">
        <w:rPr>
          <w:highlight w:val="yellow"/>
        </w:rPr>
        <w:t>o directly</w:t>
      </w:r>
      <w:r w:rsidR="000B04F7" w:rsidRPr="002C5B1D">
        <w:rPr>
          <w:highlight w:val="yellow"/>
        </w:rPr>
        <w:t xml:space="preserve"> address</w:t>
      </w:r>
      <w:proofErr w:type="gramEnd"/>
      <w:r w:rsidRPr="002C5B1D">
        <w:rPr>
          <w:highlight w:val="yellow"/>
        </w:rPr>
        <w:t xml:space="preserve"> entrepreneurs/innovators</w:t>
      </w:r>
      <w:r w:rsidRPr="000655AF">
        <w:t>.</w:t>
      </w:r>
      <w:r w:rsidR="00D13361" w:rsidRPr="000655AF">
        <w:t xml:space="preserve"> </w:t>
      </w:r>
      <w:r w:rsidRPr="000655AF">
        <w:t xml:space="preserve">The EIC might become a </w:t>
      </w:r>
      <w:r w:rsidRPr="002C5B1D">
        <w:rPr>
          <w:highlight w:val="yellow"/>
        </w:rPr>
        <w:t>faster mechanism</w:t>
      </w:r>
      <w:r w:rsidRPr="000655AF">
        <w:t xml:space="preserve"> </w:t>
      </w:r>
      <w:r w:rsidR="000B04F7" w:rsidRPr="000655AF">
        <w:t xml:space="preserve">for completing the final steps in </w:t>
      </w:r>
      <w:r w:rsidRPr="000655AF">
        <w:t xml:space="preserve">closing the innovation gap. </w:t>
      </w:r>
      <w:r w:rsidR="00F61522" w:rsidRPr="000655AF">
        <w:t>The EIC could become an umbrella under which the funding instruments</w:t>
      </w:r>
      <w:r w:rsidR="00155BFD" w:rsidRPr="000655AF">
        <w:t xml:space="preserve"> relevant to</w:t>
      </w:r>
      <w:r w:rsidR="00F61522" w:rsidRPr="000655AF">
        <w:t xml:space="preserve"> innovation are streamlined. </w:t>
      </w:r>
      <w:r w:rsidRPr="000655AF">
        <w:t>This of course requires careful synchronisation and harmonisation with all the other funding instruments. The EESC welcomes this initiative and is prepared to contribute to this discussion once concrete proposals are available.</w:t>
      </w:r>
      <w:r w:rsidR="00D13361" w:rsidRPr="000655AF">
        <w:t xml:space="preserve"> </w:t>
      </w:r>
    </w:p>
    <w:p w:rsidR="005A11CA" w:rsidRPr="000655AF" w:rsidRDefault="005A11CA"/>
    <w:p w:rsidR="005A11CA" w:rsidRPr="000655AF" w:rsidRDefault="005A11CA" w:rsidP="00BB172B">
      <w:pPr>
        <w:pStyle w:val="Naslov2"/>
        <w:ind w:left="567" w:hanging="567"/>
      </w:pPr>
      <w:r w:rsidRPr="000655AF">
        <w:t xml:space="preserve">One of the key challenges for the coming years it is for Horizon 2020 to deploy its full potential </w:t>
      </w:r>
      <w:r w:rsidRPr="003932E6">
        <w:rPr>
          <w:highlight w:val="yellow"/>
        </w:rPr>
        <w:t>to support social innovation</w:t>
      </w:r>
      <w:r w:rsidRPr="000655AF">
        <w:t xml:space="preserve">, which is critical to attain EU2020 targets. The EESC recalls that because of their nature </w:t>
      </w:r>
      <w:r w:rsidRPr="003932E6">
        <w:rPr>
          <w:highlight w:val="yellow"/>
        </w:rPr>
        <w:t>social economy enterprises</w:t>
      </w:r>
      <w:r w:rsidRPr="000655AF">
        <w:t xml:space="preserve"> have an important role to play to that effect </w:t>
      </w:r>
      <w:r w:rsidRPr="000655AF">
        <w:lastRenderedPageBreak/>
        <w:t>and urges the European Commission and the Member States to ensure that access of those enterprises to Horizon 2020 funding happens on equal terms as other actors.</w:t>
      </w:r>
    </w:p>
    <w:p w:rsidR="005A11CA" w:rsidRPr="000655AF" w:rsidRDefault="005A11CA"/>
    <w:p w:rsidR="00143DC2" w:rsidRPr="000655AF" w:rsidRDefault="00155BFD" w:rsidP="00BB172B">
      <w:pPr>
        <w:pStyle w:val="Naslov2"/>
        <w:ind w:left="567" w:hanging="567"/>
      </w:pPr>
      <w:r w:rsidRPr="000655AF">
        <w:t xml:space="preserve">The EESC also emphasises that </w:t>
      </w:r>
      <w:r w:rsidRPr="003932E6">
        <w:rPr>
          <w:highlight w:val="cyan"/>
        </w:rPr>
        <w:t>social sciences and humanities</w:t>
      </w:r>
      <w:r w:rsidRPr="000655AF">
        <w:t xml:space="preserve"> are very relevant</w:t>
      </w:r>
      <w:r w:rsidR="005A46A6" w:rsidRPr="000655AF">
        <w:t xml:space="preserve"> in Europe. Our society will </w:t>
      </w:r>
      <w:r w:rsidRPr="000655AF">
        <w:t xml:space="preserve">inevitably </w:t>
      </w:r>
      <w:r w:rsidR="005A46A6" w:rsidRPr="000655AF">
        <w:t>change due to ageing and demographic change, which leads to new research priorities</w:t>
      </w:r>
      <w:r w:rsidR="005A46A6" w:rsidRPr="000655AF">
        <w:rPr>
          <w:rStyle w:val="Referencafusnote"/>
        </w:rPr>
        <w:footnoteReference w:id="2"/>
      </w:r>
      <w:r w:rsidR="005A46A6" w:rsidRPr="000655AF">
        <w:t>. Our society will undergo fundamental changes on the way towards sustainable conditions. Chang</w:t>
      </w:r>
      <w:r w:rsidR="00D82286" w:rsidRPr="000655AF">
        <w:t>es in</w:t>
      </w:r>
      <w:r w:rsidR="005A46A6" w:rsidRPr="000655AF">
        <w:t xml:space="preserve"> boundary conditions </w:t>
      </w:r>
      <w:r w:rsidR="00D82286" w:rsidRPr="000655AF">
        <w:t xml:space="preserve">arising from phenomena </w:t>
      </w:r>
      <w:r w:rsidR="005A46A6" w:rsidRPr="000655AF">
        <w:t xml:space="preserve">such </w:t>
      </w:r>
      <w:r w:rsidR="00D82286" w:rsidRPr="000655AF">
        <w:t>as globalisation, climate change,</w:t>
      </w:r>
      <w:r w:rsidR="005A46A6" w:rsidRPr="000655AF">
        <w:t xml:space="preserve"> access t</w:t>
      </w:r>
      <w:r w:rsidR="001273D5" w:rsidRPr="000655AF">
        <w:t>o energy and</w:t>
      </w:r>
      <w:r w:rsidR="005A46A6" w:rsidRPr="000655AF">
        <w:t xml:space="preserve"> emerging</w:t>
      </w:r>
      <w:r w:rsidR="001273D5" w:rsidRPr="000655AF">
        <w:t xml:space="preserve"> technologies </w:t>
      </w:r>
      <w:r w:rsidR="00E267DC" w:rsidRPr="000655AF">
        <w:t xml:space="preserve">– </w:t>
      </w:r>
      <w:r w:rsidR="001273D5" w:rsidRPr="000655AF">
        <w:t>of which digitalisation is a main driver</w:t>
      </w:r>
      <w:r w:rsidR="0010089E" w:rsidRPr="000655AF">
        <w:t xml:space="preserve"> –</w:t>
      </w:r>
      <w:r w:rsidR="005A46A6" w:rsidRPr="000655AF">
        <w:t xml:space="preserve"> will even ac</w:t>
      </w:r>
      <w:r w:rsidR="001273D5" w:rsidRPr="000655AF">
        <w:t xml:space="preserve">celerate societal changes. </w:t>
      </w:r>
      <w:r w:rsidR="001273D5" w:rsidRPr="00714227">
        <w:rPr>
          <w:highlight w:val="yellow"/>
        </w:rPr>
        <w:t>I</w:t>
      </w:r>
      <w:r w:rsidR="005A46A6" w:rsidRPr="00714227">
        <w:rPr>
          <w:highlight w:val="yellow"/>
        </w:rPr>
        <w:t>mprov</w:t>
      </w:r>
      <w:r w:rsidR="00EA677E" w:rsidRPr="00714227">
        <w:rPr>
          <w:highlight w:val="yellow"/>
        </w:rPr>
        <w:t>ing</w:t>
      </w:r>
      <w:r w:rsidR="005A46A6" w:rsidRPr="00714227">
        <w:rPr>
          <w:highlight w:val="yellow"/>
        </w:rPr>
        <w:t xml:space="preserve"> our </w:t>
      </w:r>
      <w:r w:rsidR="001273D5" w:rsidRPr="00714227">
        <w:rPr>
          <w:highlight w:val="yellow"/>
        </w:rPr>
        <w:t>education system</w:t>
      </w:r>
      <w:r w:rsidR="001273D5" w:rsidRPr="000655AF">
        <w:t xml:space="preserve"> will be key to</w:t>
      </w:r>
      <w:r w:rsidR="005A46A6" w:rsidRPr="000655AF">
        <w:t xml:space="preserve"> </w:t>
      </w:r>
      <w:r w:rsidR="001273D5" w:rsidRPr="000655AF">
        <w:t xml:space="preserve">ensuring that we </w:t>
      </w:r>
      <w:proofErr w:type="gramStart"/>
      <w:r w:rsidR="001273D5" w:rsidRPr="000655AF">
        <w:t>are</w:t>
      </w:r>
      <w:r w:rsidR="005A46A6" w:rsidRPr="000655AF">
        <w:t xml:space="preserve"> prepared</w:t>
      </w:r>
      <w:proofErr w:type="gramEnd"/>
      <w:r w:rsidR="005A46A6" w:rsidRPr="000655AF">
        <w:t xml:space="preserve"> for the future</w:t>
      </w:r>
      <w:r w:rsidR="00B3033A" w:rsidRPr="000655AF">
        <w:t>,</w:t>
      </w:r>
      <w:r w:rsidR="005A46A6" w:rsidRPr="000655AF">
        <w:t xml:space="preserve"> with t</w:t>
      </w:r>
      <w:r w:rsidR="00B3033A" w:rsidRPr="000655AF">
        <w:t>he right skills for future high-quality jobs. A</w:t>
      </w:r>
      <w:r w:rsidR="00EA677E" w:rsidRPr="000655AF">
        <w:t>ssessing</w:t>
      </w:r>
      <w:r w:rsidR="005A46A6" w:rsidRPr="000655AF">
        <w:t xml:space="preserve"> the impact of all these developments on our society</w:t>
      </w:r>
      <w:r w:rsidR="00EA677E" w:rsidRPr="000655AF">
        <w:t>,</w:t>
      </w:r>
      <w:r w:rsidR="005A46A6" w:rsidRPr="000655AF">
        <w:t xml:space="preserve"> including</w:t>
      </w:r>
      <w:r w:rsidR="0037585B" w:rsidRPr="000655AF">
        <w:t xml:space="preserve"> any</w:t>
      </w:r>
      <w:r w:rsidR="005A46A6" w:rsidRPr="000655AF">
        <w:t xml:space="preserve"> problems </w:t>
      </w:r>
      <w:r w:rsidR="00EA677E" w:rsidRPr="000655AF">
        <w:t xml:space="preserve">that </w:t>
      </w:r>
      <w:proofErr w:type="gramStart"/>
      <w:r w:rsidR="00EA677E" w:rsidRPr="000655AF">
        <w:t>may be trigger</w:t>
      </w:r>
      <w:r w:rsidR="005A46A6" w:rsidRPr="000655AF">
        <w:t>e</w:t>
      </w:r>
      <w:r w:rsidR="00EA677E" w:rsidRPr="000655AF">
        <w:t>d</w:t>
      </w:r>
      <w:proofErr w:type="gramEnd"/>
      <w:r w:rsidR="00EA677E" w:rsidRPr="000655AF">
        <w:t xml:space="preserve"> by changes in</w:t>
      </w:r>
      <w:r w:rsidR="005A46A6" w:rsidRPr="000655AF">
        <w:t xml:space="preserve"> working and living conditions</w:t>
      </w:r>
      <w:r w:rsidR="00EA677E" w:rsidRPr="000655AF">
        <w:t>,</w:t>
      </w:r>
      <w:r w:rsidR="005A46A6" w:rsidRPr="000655AF">
        <w:t xml:space="preserve"> should receive high priority and social scien</w:t>
      </w:r>
      <w:r w:rsidR="00EA677E" w:rsidRPr="000655AF">
        <w:t>ces must play a key role here</w:t>
      </w:r>
      <w:r w:rsidR="00143DC2" w:rsidRPr="000655AF">
        <w:t>.</w:t>
      </w:r>
    </w:p>
    <w:p w:rsidR="00143DC2" w:rsidRPr="000655AF" w:rsidRDefault="00143DC2"/>
    <w:p w:rsidR="00143DC2" w:rsidRPr="000655AF" w:rsidRDefault="00143DC2" w:rsidP="00BB172B">
      <w:pPr>
        <w:pStyle w:val="Naslov1"/>
        <w:keepNext/>
        <w:ind w:left="567" w:hanging="567"/>
        <w:rPr>
          <w:b/>
        </w:rPr>
      </w:pPr>
      <w:r w:rsidRPr="000655AF">
        <w:rPr>
          <w:b/>
        </w:rPr>
        <w:t>The European Research Area and the EU added value of Horizon 2020</w:t>
      </w:r>
    </w:p>
    <w:p w:rsidR="00143DC2" w:rsidRPr="000655AF" w:rsidRDefault="00143DC2" w:rsidP="002264E8">
      <w:pPr>
        <w:keepNext/>
      </w:pPr>
    </w:p>
    <w:p w:rsidR="00143DC2" w:rsidRPr="000655AF" w:rsidRDefault="00143DC2" w:rsidP="00BB172B">
      <w:pPr>
        <w:pStyle w:val="Naslov2"/>
        <w:ind w:left="567" w:hanging="567"/>
      </w:pPr>
      <w:r w:rsidRPr="000655AF">
        <w:t xml:space="preserve">One of the objectives of the </w:t>
      </w:r>
      <w:r w:rsidR="00423872" w:rsidRPr="000655AF">
        <w:t>‘</w:t>
      </w:r>
      <w:r w:rsidRPr="000655AF">
        <w:t>Framework Programme for Research and Innovation</w:t>
      </w:r>
      <w:r w:rsidR="002B517B" w:rsidRPr="000655AF">
        <w:t>’</w:t>
      </w:r>
      <w:r w:rsidRPr="000655AF">
        <w:t xml:space="preserve"> (Horizon 2020) is </w:t>
      </w:r>
      <w:r w:rsidRPr="00852009">
        <w:rPr>
          <w:highlight w:val="yellow"/>
        </w:rPr>
        <w:t>to complete the European Research Area</w:t>
      </w:r>
      <w:r w:rsidRPr="000655AF">
        <w:t xml:space="preserve"> (ERA). Horizon 2020 </w:t>
      </w:r>
      <w:proofErr w:type="gramStart"/>
      <w:r w:rsidRPr="000655AF">
        <w:t>is also seen</w:t>
      </w:r>
      <w:proofErr w:type="gramEnd"/>
      <w:r w:rsidRPr="000655AF">
        <w:t xml:space="preserve"> as a policy instrument for implementing the Europe 2020 and Innovation Union initiatives. Key elements for the ERA are a common </w:t>
      </w:r>
      <w:proofErr w:type="gramStart"/>
      <w:r w:rsidRPr="00852009">
        <w:rPr>
          <w:highlight w:val="yellow"/>
        </w:rPr>
        <w:t>European research infrastructure policy</w:t>
      </w:r>
      <w:proofErr w:type="gramEnd"/>
      <w:r w:rsidRPr="000655AF">
        <w:t xml:space="preserve">, </w:t>
      </w:r>
      <w:r w:rsidRPr="00E562A1">
        <w:rPr>
          <w:highlight w:val="yellow"/>
        </w:rPr>
        <w:t>collaborative research projects</w:t>
      </w:r>
      <w:r w:rsidRPr="000655AF">
        <w:t xml:space="preserve">, </w:t>
      </w:r>
      <w:r w:rsidRPr="00E562A1">
        <w:rPr>
          <w:highlight w:val="yellow"/>
        </w:rPr>
        <w:t>the mobility of researchers across borders</w:t>
      </w:r>
      <w:r w:rsidRPr="000655AF">
        <w:t xml:space="preserve">, and the </w:t>
      </w:r>
      <w:r w:rsidRPr="00E562A1">
        <w:rPr>
          <w:highlight w:val="yellow"/>
        </w:rPr>
        <w:t>coordination of major research programmes</w:t>
      </w:r>
      <w:r w:rsidRPr="000655AF">
        <w:t xml:space="preserve"> under the </w:t>
      </w:r>
      <w:r w:rsidRPr="00E562A1">
        <w:rPr>
          <w:highlight w:val="yellow"/>
        </w:rPr>
        <w:t>difficult boundary condition</w:t>
      </w:r>
      <w:r w:rsidRPr="000655AF">
        <w:t xml:space="preserve"> that EU programmes must operate in an environment in which most public funding for research and innovation is administered by Member States.</w:t>
      </w:r>
    </w:p>
    <w:p w:rsidR="00143DC2" w:rsidRPr="000655AF" w:rsidRDefault="00143DC2"/>
    <w:p w:rsidR="00143DC2" w:rsidRPr="000655AF" w:rsidRDefault="009A2A2A" w:rsidP="00BB172B">
      <w:pPr>
        <w:pStyle w:val="Naslov2"/>
        <w:ind w:left="567" w:hanging="567"/>
      </w:pPr>
      <w:r w:rsidRPr="00E562A1">
        <w:rPr>
          <w:highlight w:val="cyan"/>
        </w:rPr>
        <w:t>The European Strategy Forum on Research Infrastructures</w:t>
      </w:r>
      <w:r w:rsidRPr="000655AF">
        <w:t xml:space="preserve"> (ESFRI) has so far served as a useful coordination instrument </w:t>
      </w:r>
      <w:r w:rsidRPr="00E562A1">
        <w:rPr>
          <w:highlight w:val="yellow"/>
        </w:rPr>
        <w:t>for identifying new research infrastructures</w:t>
      </w:r>
      <w:r w:rsidRPr="000655AF">
        <w:t xml:space="preserve"> of pan-European interest. While setting up large-scale research facilities mainly depends on national funding, the European level is important </w:t>
      </w:r>
      <w:r w:rsidRPr="00E562A1">
        <w:rPr>
          <w:highlight w:val="yellow"/>
        </w:rPr>
        <w:t>for supporting consortia</w:t>
      </w:r>
      <w:r w:rsidRPr="000655AF">
        <w:t xml:space="preserve">, and </w:t>
      </w:r>
      <w:r w:rsidRPr="00E562A1">
        <w:rPr>
          <w:highlight w:val="yellow"/>
        </w:rPr>
        <w:t>for providing access to infrastructure for researchers</w:t>
      </w:r>
      <w:r w:rsidR="000128F0" w:rsidRPr="00E562A1">
        <w:rPr>
          <w:highlight w:val="yellow"/>
        </w:rPr>
        <w:t xml:space="preserve"> across European borders</w:t>
      </w:r>
      <w:r w:rsidRPr="000655AF">
        <w:t xml:space="preserve">. The EESC shares the concerns of research communities about the </w:t>
      </w:r>
      <w:r w:rsidRPr="00E562A1">
        <w:rPr>
          <w:highlight w:val="yellow"/>
        </w:rPr>
        <w:t>insufficiency of this support</w:t>
      </w:r>
      <w:r w:rsidRPr="000655AF">
        <w:t xml:space="preserve"> and urges the Commission to strengthen it significantly, thereby guaranteeing access on the part of European researchers </w:t>
      </w:r>
      <w:r w:rsidRPr="001A7040">
        <w:t xml:space="preserve">to the </w:t>
      </w:r>
      <w:r w:rsidRPr="001A7040">
        <w:rPr>
          <w:highlight w:val="yellow"/>
        </w:rPr>
        <w:t xml:space="preserve">national and European </w:t>
      </w:r>
      <w:proofErr w:type="gramStart"/>
      <w:r w:rsidRPr="001A7040">
        <w:rPr>
          <w:highlight w:val="yellow"/>
        </w:rPr>
        <w:t>facilities</w:t>
      </w:r>
      <w:r w:rsidRPr="000655AF">
        <w:t xml:space="preserve"> which</w:t>
      </w:r>
      <w:proofErr w:type="gramEnd"/>
      <w:r w:rsidRPr="000655AF">
        <w:t xml:space="preserve"> are a key asset of the ERA. </w:t>
      </w:r>
    </w:p>
    <w:p w:rsidR="00143DC2" w:rsidRPr="000655AF" w:rsidRDefault="00143DC2"/>
    <w:p w:rsidR="00CE0763" w:rsidRPr="000655AF" w:rsidRDefault="00143DC2" w:rsidP="00BB172B">
      <w:pPr>
        <w:pStyle w:val="Naslov2"/>
        <w:ind w:left="567" w:hanging="567"/>
      </w:pPr>
      <w:r w:rsidRPr="000655AF">
        <w:t xml:space="preserve">In general, </w:t>
      </w:r>
      <w:r w:rsidRPr="001A7040">
        <w:rPr>
          <w:highlight w:val="yellow"/>
        </w:rPr>
        <w:t>mobility</w:t>
      </w:r>
      <w:r w:rsidRPr="000655AF">
        <w:t xml:space="preserve"> within the ERA is of utmost importance. We urge therefore that funding programmes like the Marie </w:t>
      </w:r>
      <w:proofErr w:type="spellStart"/>
      <w:r w:rsidRPr="000655AF">
        <w:t>Skłodowska</w:t>
      </w:r>
      <w:proofErr w:type="spellEnd"/>
      <w:r w:rsidRPr="000655AF">
        <w:t xml:space="preserve"> Curie Actions should be maintained </w:t>
      </w:r>
      <w:proofErr w:type="gramStart"/>
      <w:r w:rsidRPr="000655AF">
        <w:t xml:space="preserve">at </w:t>
      </w:r>
      <w:r w:rsidR="00687A82" w:rsidRPr="000655AF">
        <w:t xml:space="preserve"> prominent</w:t>
      </w:r>
      <w:proofErr w:type="gramEnd"/>
      <w:r w:rsidRPr="000655AF">
        <w:t xml:space="preserve">  level. </w:t>
      </w:r>
    </w:p>
    <w:p w:rsidR="00CE0763" w:rsidRPr="000655AF" w:rsidRDefault="00CE0763" w:rsidP="002264E8"/>
    <w:p w:rsidR="00143DC2" w:rsidRPr="000655AF" w:rsidRDefault="00143DC2" w:rsidP="00BB172B">
      <w:pPr>
        <w:pStyle w:val="Naslov2"/>
        <w:ind w:left="567" w:hanging="567"/>
      </w:pPr>
      <w:r w:rsidRPr="000655AF">
        <w:t xml:space="preserve">We welcome the </w:t>
      </w:r>
      <w:r w:rsidRPr="001A7040">
        <w:rPr>
          <w:highlight w:val="yellow"/>
        </w:rPr>
        <w:t>initiative Open to the World</w:t>
      </w:r>
      <w:r w:rsidRPr="000655AF">
        <w:t xml:space="preserve">, assuming that scientific quality remains the </w:t>
      </w:r>
      <w:r w:rsidR="000920BA" w:rsidRPr="000655AF">
        <w:t xml:space="preserve">main driver for this activity. </w:t>
      </w:r>
      <w:r w:rsidR="00BD44F2" w:rsidRPr="000655AF">
        <w:t>The f</w:t>
      </w:r>
      <w:r w:rsidR="00B14B5E" w:rsidRPr="000655AF">
        <w:t xml:space="preserve">irst indications that the </w:t>
      </w:r>
      <w:r w:rsidR="00B14B5E" w:rsidRPr="001A7040">
        <w:rPr>
          <w:highlight w:val="yellow"/>
        </w:rPr>
        <w:t xml:space="preserve">decrease </w:t>
      </w:r>
      <w:r w:rsidR="00BD44F2" w:rsidRPr="001A7040">
        <w:rPr>
          <w:highlight w:val="yellow"/>
        </w:rPr>
        <w:t>in the</w:t>
      </w:r>
      <w:r w:rsidR="00B14B5E" w:rsidRPr="001A7040">
        <w:rPr>
          <w:highlight w:val="yellow"/>
        </w:rPr>
        <w:t xml:space="preserve"> participation of third countries</w:t>
      </w:r>
      <w:r w:rsidR="00B14B5E" w:rsidRPr="000655AF">
        <w:t xml:space="preserve"> is affecting even industrialised economies</w:t>
      </w:r>
      <w:r w:rsidR="00D13361" w:rsidRPr="000655AF">
        <w:t xml:space="preserve"> </w:t>
      </w:r>
      <w:r w:rsidR="00BD44F2" w:rsidRPr="000655AF">
        <w:t>– e</w:t>
      </w:r>
      <w:r w:rsidR="00B14B5E" w:rsidRPr="000655AF">
        <w:t>.g. the USA</w:t>
      </w:r>
      <w:r w:rsidR="00BD44F2" w:rsidRPr="000655AF">
        <w:t xml:space="preserve"> –</w:t>
      </w:r>
      <w:r w:rsidR="00B14B5E" w:rsidRPr="000655AF">
        <w:t xml:space="preserve"> </w:t>
      </w:r>
      <w:proofErr w:type="gramStart"/>
      <w:r w:rsidR="00B14B5E" w:rsidRPr="000655AF">
        <w:t>should be carefully examined</w:t>
      </w:r>
      <w:proofErr w:type="gramEnd"/>
      <w:r w:rsidR="00BD44F2" w:rsidRPr="000655AF">
        <w:t xml:space="preserve">, in order to determine </w:t>
      </w:r>
      <w:r w:rsidR="00B14B5E" w:rsidRPr="000655AF">
        <w:t>the causes of this worrying development</w:t>
      </w:r>
      <w:r w:rsidR="00BD44F2" w:rsidRPr="000655AF">
        <w:t>.</w:t>
      </w:r>
    </w:p>
    <w:p w:rsidR="00143DC2" w:rsidRPr="000655AF" w:rsidRDefault="00143DC2"/>
    <w:p w:rsidR="00143DC2" w:rsidRPr="000655AF" w:rsidRDefault="00143DC2" w:rsidP="00BB172B">
      <w:pPr>
        <w:pStyle w:val="Naslov2"/>
        <w:ind w:left="567" w:hanging="567"/>
      </w:pPr>
      <w:r w:rsidRPr="000655AF">
        <w:lastRenderedPageBreak/>
        <w:t>The EESC would like to emphas</w:t>
      </w:r>
      <w:r w:rsidR="00D13361" w:rsidRPr="000655AF">
        <w:t>ise</w:t>
      </w:r>
      <w:r w:rsidRPr="000655AF">
        <w:t xml:space="preserve"> that </w:t>
      </w:r>
      <w:r w:rsidRPr="001A7040">
        <w:rPr>
          <w:highlight w:val="yellow"/>
        </w:rPr>
        <w:t>collaborative research with a minimum of three partners</w:t>
      </w:r>
      <w:r w:rsidRPr="000655AF">
        <w:t xml:space="preserve"> from different Member States must remain the </w:t>
      </w:r>
      <w:r w:rsidRPr="001A7040">
        <w:rPr>
          <w:highlight w:val="yellow"/>
        </w:rPr>
        <w:t>backbone of European research funding</w:t>
      </w:r>
      <w:r w:rsidRPr="000655AF">
        <w:t xml:space="preserve">. Enabling different innovation and research </w:t>
      </w:r>
      <w:r w:rsidR="00F16E06" w:rsidRPr="000655AF">
        <w:t>players</w:t>
      </w:r>
      <w:r w:rsidRPr="000655AF">
        <w:t xml:space="preserve"> to join forces to address challenges that cannot be met by one country alone, and to create synergies within the EU research landscape is something that needs to be done at EU-level and creates significant EU added value.</w:t>
      </w:r>
    </w:p>
    <w:p w:rsidR="00143DC2" w:rsidRPr="000655AF" w:rsidRDefault="00143DC2"/>
    <w:p w:rsidR="00143DC2" w:rsidRPr="000655AF" w:rsidRDefault="00143DC2" w:rsidP="00BB172B">
      <w:pPr>
        <w:pStyle w:val="Naslov2"/>
        <w:ind w:left="567" w:hanging="567"/>
      </w:pPr>
      <w:r w:rsidRPr="000655AF">
        <w:t xml:space="preserve">The EESC is exceedingly concerned about the </w:t>
      </w:r>
      <w:r w:rsidRPr="001A7040">
        <w:rPr>
          <w:highlight w:val="yellow"/>
        </w:rPr>
        <w:t xml:space="preserve">large </w:t>
      </w:r>
      <w:r w:rsidRPr="001A7040">
        <w:rPr>
          <w:highlight w:val="cyan"/>
        </w:rPr>
        <w:t>disparities</w:t>
      </w:r>
      <w:r w:rsidRPr="001A7040">
        <w:rPr>
          <w:highlight w:val="yellow"/>
        </w:rPr>
        <w:t xml:space="preserve"> among Member States in their national funding of research and innovation</w:t>
      </w:r>
      <w:r w:rsidRPr="000655AF">
        <w:t xml:space="preserve">. As a result, this has led to large differences in success with regard to receiving EU funding. We observe with deep concern that these </w:t>
      </w:r>
      <w:r w:rsidRPr="001A7040">
        <w:rPr>
          <w:highlight w:val="yellow"/>
        </w:rPr>
        <w:t>disparities are actually growing</w:t>
      </w:r>
      <w:r w:rsidRPr="000655AF">
        <w:t xml:space="preserve">. In particular, the </w:t>
      </w:r>
      <w:r w:rsidRPr="001A7040">
        <w:rPr>
          <w:highlight w:val="yellow"/>
        </w:rPr>
        <w:t>EU13</w:t>
      </w:r>
      <w:r w:rsidRPr="000655AF">
        <w:t xml:space="preserve"> Member States</w:t>
      </w:r>
      <w:r w:rsidR="00BC4DB3" w:rsidRPr="000655AF">
        <w:t xml:space="preserve"> have had </w:t>
      </w:r>
      <w:r w:rsidR="00BC4DB3" w:rsidRPr="001A7040">
        <w:rPr>
          <w:highlight w:val="yellow"/>
        </w:rPr>
        <w:t>little success</w:t>
      </w:r>
      <w:r w:rsidR="00BC4DB3" w:rsidRPr="000655AF">
        <w:t xml:space="preserve"> in acquir</w:t>
      </w:r>
      <w:r w:rsidRPr="000655AF">
        <w:t xml:space="preserve">ing Horizon 2020 funding. The differences in national funding for research and innovation are huge. This is </w:t>
      </w:r>
      <w:r w:rsidRPr="001A7040">
        <w:rPr>
          <w:highlight w:val="yellow"/>
        </w:rPr>
        <w:t>not only due to differences in GNP</w:t>
      </w:r>
      <w:r w:rsidRPr="000655AF">
        <w:t xml:space="preserve"> within the EU. In addition, the </w:t>
      </w:r>
      <w:r w:rsidRPr="001A7040">
        <w:rPr>
          <w:highlight w:val="yellow"/>
        </w:rPr>
        <w:t>stronger Member States also spend much more in relative terms</w:t>
      </w:r>
      <w:r w:rsidRPr="000655AF">
        <w:t xml:space="preserve"> on research and innovation than their weaker </w:t>
      </w:r>
      <w:proofErr w:type="gramStart"/>
      <w:r w:rsidRPr="000655AF">
        <w:t>counterparts</w:t>
      </w:r>
      <w:proofErr w:type="gramEnd"/>
      <w:r w:rsidRPr="000655AF">
        <w:t>.</w:t>
      </w:r>
    </w:p>
    <w:p w:rsidR="00143DC2" w:rsidRPr="000655AF" w:rsidRDefault="00143DC2"/>
    <w:p w:rsidR="00920E0F" w:rsidRPr="000655AF" w:rsidRDefault="00143DC2" w:rsidP="00BB172B">
      <w:pPr>
        <w:pStyle w:val="Naslov2"/>
        <w:ind w:left="567" w:hanging="567"/>
      </w:pPr>
      <w:r w:rsidRPr="000655AF">
        <w:t xml:space="preserve">It </w:t>
      </w:r>
      <w:proofErr w:type="gramStart"/>
      <w:r w:rsidRPr="000655AF">
        <w:t>can clearly be stated</w:t>
      </w:r>
      <w:proofErr w:type="gramEnd"/>
      <w:r w:rsidRPr="000655AF">
        <w:t xml:space="preserve"> that the </w:t>
      </w:r>
      <w:r w:rsidRPr="0004544E">
        <w:rPr>
          <w:highlight w:val="cyan"/>
        </w:rPr>
        <w:t xml:space="preserve">failure </w:t>
      </w:r>
      <w:r w:rsidRPr="0004544E">
        <w:rPr>
          <w:highlight w:val="yellow"/>
        </w:rPr>
        <w:t>to achieve the goal of 3</w:t>
      </w:r>
      <w:r w:rsidR="00D13361" w:rsidRPr="0004544E">
        <w:rPr>
          <w:highlight w:val="yellow"/>
        </w:rPr>
        <w:t>%</w:t>
      </w:r>
      <w:r w:rsidRPr="000655AF">
        <w:t xml:space="preserve"> of the GNP for R&amp;I funding (Lisbon 2007) is essentially </w:t>
      </w:r>
      <w:r w:rsidRPr="001A7040">
        <w:rPr>
          <w:highlight w:val="yellow"/>
        </w:rPr>
        <w:t xml:space="preserve">due to a lack of national </w:t>
      </w:r>
      <w:r w:rsidR="004F712D" w:rsidRPr="001A7040">
        <w:rPr>
          <w:highlight w:val="yellow"/>
        </w:rPr>
        <w:t xml:space="preserve">research and innovation </w:t>
      </w:r>
      <w:r w:rsidRPr="001A7040">
        <w:rPr>
          <w:highlight w:val="yellow"/>
        </w:rPr>
        <w:t>funding</w:t>
      </w:r>
      <w:r w:rsidRPr="000655AF">
        <w:t xml:space="preserve">. Horizon 2020 contributes only a minor share to this. The EESC calls for national research funding to </w:t>
      </w:r>
      <w:proofErr w:type="gramStart"/>
      <w:r w:rsidRPr="000655AF">
        <w:t>be strengthened</w:t>
      </w:r>
      <w:proofErr w:type="gramEnd"/>
      <w:r w:rsidRPr="000655AF">
        <w:t xml:space="preserve"> and would like to emphasise to Member States </w:t>
      </w:r>
      <w:r w:rsidRPr="0004544E">
        <w:rPr>
          <w:highlight w:val="yellow"/>
        </w:rPr>
        <w:t xml:space="preserve">the fact that EU research funding </w:t>
      </w:r>
      <w:r w:rsidRPr="0004544E">
        <w:rPr>
          <w:highlight w:val="cyan"/>
        </w:rPr>
        <w:t xml:space="preserve">cannot replace </w:t>
      </w:r>
      <w:r w:rsidRPr="0004544E">
        <w:rPr>
          <w:highlight w:val="yellow"/>
        </w:rPr>
        <w:t>national efforts</w:t>
      </w:r>
      <w:r w:rsidRPr="000655AF">
        <w:t xml:space="preserve">. </w:t>
      </w:r>
      <w:r w:rsidR="00B25633" w:rsidRPr="000655AF">
        <w:t xml:space="preserve">This is also vital to counteract </w:t>
      </w:r>
      <w:r w:rsidR="0043027A" w:rsidRPr="000655AF">
        <w:t xml:space="preserve">the </w:t>
      </w:r>
      <w:r w:rsidR="00B25633" w:rsidRPr="0004544E">
        <w:rPr>
          <w:highlight w:val="cyan"/>
        </w:rPr>
        <w:t>dangers of</w:t>
      </w:r>
      <w:r w:rsidR="00D13361" w:rsidRPr="0004544E">
        <w:rPr>
          <w:highlight w:val="cyan"/>
        </w:rPr>
        <w:t xml:space="preserve"> </w:t>
      </w:r>
      <w:r w:rsidR="00B25633" w:rsidRPr="0004544E">
        <w:rPr>
          <w:highlight w:val="cyan"/>
        </w:rPr>
        <w:t>brain drain</w:t>
      </w:r>
      <w:r w:rsidR="00B25633" w:rsidRPr="000655AF">
        <w:t xml:space="preserve"> in certain Member States. </w:t>
      </w:r>
    </w:p>
    <w:p w:rsidR="00920E0F" w:rsidRPr="000655AF" w:rsidRDefault="00920E0F" w:rsidP="00BB172B"/>
    <w:p w:rsidR="00143DC2" w:rsidRPr="000655AF" w:rsidRDefault="00E7293B" w:rsidP="00BB172B">
      <w:pPr>
        <w:pStyle w:val="Naslov2"/>
        <w:ind w:left="567" w:hanging="567"/>
      </w:pPr>
      <w:r w:rsidRPr="000655AF">
        <w:t xml:space="preserve">An analysis of the </w:t>
      </w:r>
      <w:r w:rsidRPr="0004544E">
        <w:rPr>
          <w:highlight w:val="cyan"/>
        </w:rPr>
        <w:t>rising gap</w:t>
      </w:r>
      <w:r w:rsidRPr="000655AF">
        <w:t xml:space="preserve"> between Member States </w:t>
      </w:r>
      <w:proofErr w:type="gramStart"/>
      <w:r w:rsidRPr="000655AF">
        <w:t>should be ca</w:t>
      </w:r>
      <w:r w:rsidR="00D568A4" w:rsidRPr="000655AF">
        <w:t>rried out</w:t>
      </w:r>
      <w:proofErr w:type="gramEnd"/>
      <w:r w:rsidR="00D568A4" w:rsidRPr="000655AF">
        <w:t xml:space="preserve"> in order to assess the</w:t>
      </w:r>
      <w:r w:rsidRPr="000655AF">
        <w:t xml:space="preserve"> </w:t>
      </w:r>
      <w:r w:rsidRPr="0004544E">
        <w:rPr>
          <w:highlight w:val="yellow"/>
        </w:rPr>
        <w:t>reasons</w:t>
      </w:r>
      <w:r w:rsidR="00D568A4" w:rsidRPr="0004544E">
        <w:rPr>
          <w:highlight w:val="yellow"/>
        </w:rPr>
        <w:t xml:space="preserve"> for it</w:t>
      </w:r>
      <w:r w:rsidRPr="000655AF">
        <w:t xml:space="preserve">. The EESC welcomes the </w:t>
      </w:r>
      <w:r w:rsidRPr="00203B84">
        <w:rPr>
          <w:highlight w:val="yellow"/>
        </w:rPr>
        <w:t>new measures for "Spreading Excellence and Widening Participation"</w:t>
      </w:r>
      <w:r w:rsidRPr="000655AF">
        <w:t xml:space="preserve"> </w:t>
      </w:r>
      <w:r w:rsidRPr="00203B84">
        <w:rPr>
          <w:highlight w:val="yellow"/>
        </w:rPr>
        <w:t xml:space="preserve">which may help </w:t>
      </w:r>
      <w:r w:rsidR="00C41F7A" w:rsidRPr="00203B84">
        <w:rPr>
          <w:highlight w:val="yellow"/>
        </w:rPr>
        <w:t>to reduc</w:t>
      </w:r>
      <w:r w:rsidRPr="00203B84">
        <w:rPr>
          <w:highlight w:val="yellow"/>
        </w:rPr>
        <w:t>e the gap</w:t>
      </w:r>
      <w:r w:rsidRPr="000655AF">
        <w:t xml:space="preserve">. Other </w:t>
      </w:r>
      <w:proofErr w:type="gramStart"/>
      <w:r w:rsidRPr="000655AF">
        <w:t>measures which should be considered</w:t>
      </w:r>
      <w:proofErr w:type="gramEnd"/>
      <w:r w:rsidRPr="000655AF">
        <w:t xml:space="preserve"> </w:t>
      </w:r>
      <w:r w:rsidR="00F57753" w:rsidRPr="000655AF">
        <w:t xml:space="preserve">are having </w:t>
      </w:r>
      <w:r w:rsidR="00F57753" w:rsidRPr="00203B84">
        <w:rPr>
          <w:highlight w:val="yellow"/>
        </w:rPr>
        <w:t>smaller project</w:t>
      </w:r>
      <w:r w:rsidR="009532DF" w:rsidRPr="00203B84">
        <w:rPr>
          <w:highlight w:val="yellow"/>
        </w:rPr>
        <w:t>s</w:t>
      </w:r>
      <w:r w:rsidRPr="000655AF">
        <w:t xml:space="preserve">, since these have </w:t>
      </w:r>
      <w:r w:rsidR="00F57753" w:rsidRPr="000655AF">
        <w:t xml:space="preserve">been </w:t>
      </w:r>
      <w:r w:rsidRPr="000655AF">
        <w:t xml:space="preserve">shown to be </w:t>
      </w:r>
      <w:r w:rsidR="00C46624" w:rsidRPr="00203B84">
        <w:rPr>
          <w:highlight w:val="yellow"/>
        </w:rPr>
        <w:t xml:space="preserve">conducive </w:t>
      </w:r>
      <w:r w:rsidRPr="00203B84">
        <w:rPr>
          <w:highlight w:val="yellow"/>
        </w:rPr>
        <w:t xml:space="preserve">to </w:t>
      </w:r>
      <w:r w:rsidR="00943789" w:rsidRPr="00203B84">
        <w:rPr>
          <w:highlight w:val="yellow"/>
        </w:rPr>
        <w:t>participation</w:t>
      </w:r>
      <w:r w:rsidR="00943789" w:rsidRPr="000655AF">
        <w:t xml:space="preserve"> by EU-</w:t>
      </w:r>
      <w:r w:rsidRPr="000655AF">
        <w:t xml:space="preserve">13 </w:t>
      </w:r>
      <w:r w:rsidR="00943789" w:rsidRPr="000655AF">
        <w:t>countries</w:t>
      </w:r>
      <w:r w:rsidRPr="000655AF">
        <w:t>, providing advice for support structures for applicants, or adding participation of EU</w:t>
      </w:r>
      <w:r w:rsidR="00943789" w:rsidRPr="000655AF">
        <w:t>-</w:t>
      </w:r>
      <w:r w:rsidRPr="000655AF">
        <w:t xml:space="preserve">13 </w:t>
      </w:r>
      <w:r w:rsidR="00943789" w:rsidRPr="000655AF">
        <w:t xml:space="preserve">countries </w:t>
      </w:r>
      <w:r w:rsidRPr="000655AF">
        <w:t xml:space="preserve">as a </w:t>
      </w:r>
      <w:r w:rsidRPr="00203B84">
        <w:rPr>
          <w:highlight w:val="yellow"/>
        </w:rPr>
        <w:t>prioritisation criterion</w:t>
      </w:r>
      <w:r w:rsidRPr="000655AF">
        <w:t xml:space="preserve"> </w:t>
      </w:r>
      <w:r w:rsidRPr="00203B84">
        <w:rPr>
          <w:highlight w:val="yellow"/>
        </w:rPr>
        <w:t>among equally good projects</w:t>
      </w:r>
      <w:r w:rsidRPr="000655AF">
        <w:t xml:space="preserve">, </w:t>
      </w:r>
      <w:r w:rsidRPr="00203B84">
        <w:rPr>
          <w:highlight w:val="yellow"/>
        </w:rPr>
        <w:t>provided</w:t>
      </w:r>
      <w:r w:rsidRPr="000655AF">
        <w:t xml:space="preserve"> the competing appl</w:t>
      </w:r>
      <w:r w:rsidR="00AA17DA" w:rsidRPr="000655AF">
        <w:t xml:space="preserve">icants </w:t>
      </w:r>
      <w:r w:rsidR="00AA17DA" w:rsidRPr="00203B84">
        <w:rPr>
          <w:highlight w:val="yellow"/>
        </w:rPr>
        <w:t xml:space="preserve">meet the same </w:t>
      </w:r>
      <w:r w:rsidRPr="00203B84">
        <w:rPr>
          <w:highlight w:val="yellow"/>
        </w:rPr>
        <w:t>excellence criteria</w:t>
      </w:r>
      <w:r w:rsidRPr="000655AF">
        <w:t xml:space="preserve">. We </w:t>
      </w:r>
      <w:r w:rsidR="007D20B1" w:rsidRPr="000655AF">
        <w:t xml:space="preserve">would particularly propose </w:t>
      </w:r>
      <w:r w:rsidR="007D20B1" w:rsidRPr="00203B84">
        <w:rPr>
          <w:highlight w:val="yellow"/>
        </w:rPr>
        <w:t>strengthening</w:t>
      </w:r>
      <w:r w:rsidR="007D20B1" w:rsidRPr="000655AF">
        <w:t xml:space="preserve"> </w:t>
      </w:r>
      <w:r w:rsidRPr="000655AF">
        <w:t>a funding in</w:t>
      </w:r>
      <w:r w:rsidR="00787EFF" w:rsidRPr="000655AF">
        <w:t xml:space="preserve">strument already in place – </w:t>
      </w:r>
      <w:r w:rsidRPr="00203B84">
        <w:rPr>
          <w:highlight w:val="yellow"/>
        </w:rPr>
        <w:t>collaborative research</w:t>
      </w:r>
      <w:r w:rsidRPr="000655AF">
        <w:t xml:space="preserve"> </w:t>
      </w:r>
      <w:proofErr w:type="gramStart"/>
      <w:r w:rsidR="00787EFF" w:rsidRPr="000655AF">
        <w:t>–</w:t>
      </w:r>
      <w:r w:rsidRPr="000655AF">
        <w:t xml:space="preserve"> </w:t>
      </w:r>
      <w:r w:rsidRPr="00203B84">
        <w:rPr>
          <w:highlight w:val="yellow"/>
        </w:rPr>
        <w:t>which</w:t>
      </w:r>
      <w:proofErr w:type="gramEnd"/>
      <w:r w:rsidRPr="00203B84">
        <w:rPr>
          <w:highlight w:val="yellow"/>
        </w:rPr>
        <w:t xml:space="preserve"> </w:t>
      </w:r>
      <w:r w:rsidR="007D20B1" w:rsidRPr="00203B84">
        <w:rPr>
          <w:highlight w:val="yellow"/>
        </w:rPr>
        <w:t>builds</w:t>
      </w:r>
      <w:r w:rsidRPr="00203B84">
        <w:rPr>
          <w:highlight w:val="yellow"/>
        </w:rPr>
        <w:t xml:space="preserve"> bridges between research communities</w:t>
      </w:r>
      <w:r w:rsidR="007D20B1" w:rsidRPr="000655AF">
        <w:t>,</w:t>
      </w:r>
      <w:r w:rsidRPr="000655AF">
        <w:t xml:space="preserve"> </w:t>
      </w:r>
      <w:r w:rsidR="007D20B1" w:rsidRPr="000655AF">
        <w:t xml:space="preserve">thereby helping to dissolve </w:t>
      </w:r>
      <w:r w:rsidRPr="000655AF">
        <w:t>disparities</w:t>
      </w:r>
      <w:r w:rsidR="00143DC2" w:rsidRPr="000655AF">
        <w:t xml:space="preserve">. </w:t>
      </w:r>
    </w:p>
    <w:p w:rsidR="00143DC2" w:rsidRPr="000655AF" w:rsidRDefault="00143DC2"/>
    <w:p w:rsidR="00143DC2" w:rsidRPr="000655AF" w:rsidRDefault="00143DC2" w:rsidP="00BB172B">
      <w:pPr>
        <w:pStyle w:val="Naslov2"/>
        <w:ind w:left="567" w:hanging="567"/>
      </w:pPr>
      <w:r w:rsidRPr="000655AF">
        <w:t xml:space="preserve">Open </w:t>
      </w:r>
      <w:r w:rsidR="0013632D" w:rsidRPr="000655AF">
        <w:t>S</w:t>
      </w:r>
      <w:r w:rsidRPr="000655AF">
        <w:t xml:space="preserve">cience activities </w:t>
      </w:r>
      <w:proofErr w:type="gramStart"/>
      <w:r w:rsidRPr="000655AF">
        <w:t>are supported</w:t>
      </w:r>
      <w:proofErr w:type="gramEnd"/>
      <w:r w:rsidRPr="000655AF">
        <w:t xml:space="preserve"> by the EESC</w:t>
      </w:r>
      <w:r w:rsidR="00DE7772" w:rsidRPr="000655AF">
        <w:rPr>
          <w:rStyle w:val="Referencafusnote"/>
        </w:rPr>
        <w:footnoteReference w:id="3"/>
      </w:r>
      <w:r w:rsidR="00DE7772" w:rsidRPr="000655AF">
        <w:t xml:space="preserve">. </w:t>
      </w:r>
      <w:r w:rsidR="0003249E" w:rsidRPr="000655AF">
        <w:t xml:space="preserve">The use of </w:t>
      </w:r>
      <w:r w:rsidRPr="00203B84">
        <w:rPr>
          <w:highlight w:val="cyan"/>
        </w:rPr>
        <w:t xml:space="preserve">Open </w:t>
      </w:r>
      <w:r w:rsidR="0003249E" w:rsidRPr="00203B84">
        <w:rPr>
          <w:highlight w:val="cyan"/>
        </w:rPr>
        <w:t>A</w:t>
      </w:r>
      <w:r w:rsidRPr="00203B84">
        <w:rPr>
          <w:highlight w:val="cyan"/>
        </w:rPr>
        <w:t>ccess</w:t>
      </w:r>
      <w:r w:rsidRPr="000655AF">
        <w:t xml:space="preserve"> to publications </w:t>
      </w:r>
      <w:r w:rsidR="00920A9A" w:rsidRPr="000655AF">
        <w:t>has made progress;</w:t>
      </w:r>
      <w:r w:rsidR="00E1776E" w:rsidRPr="000655AF">
        <w:t xml:space="preserve"> </w:t>
      </w:r>
      <w:proofErr w:type="gramStart"/>
      <w:r w:rsidR="00E1776E" w:rsidRPr="000655AF">
        <w:t>however</w:t>
      </w:r>
      <w:proofErr w:type="gramEnd"/>
      <w:r w:rsidR="00E1776E" w:rsidRPr="000655AF">
        <w:t xml:space="preserve"> there are still serious </w:t>
      </w:r>
      <w:r w:rsidR="00E1776E" w:rsidRPr="004F58C8">
        <w:rPr>
          <w:highlight w:val="yellow"/>
        </w:rPr>
        <w:t>problems with some publishers</w:t>
      </w:r>
      <w:r w:rsidR="00E1776E" w:rsidRPr="000655AF">
        <w:t xml:space="preserve"> </w:t>
      </w:r>
      <w:r w:rsidR="00822AF7" w:rsidRPr="000655AF">
        <w:t>–</w:t>
      </w:r>
      <w:r w:rsidR="00E1776E" w:rsidRPr="000655AF">
        <w:t xml:space="preserve"> an obstacle which </w:t>
      </w:r>
      <w:r w:rsidR="00920A9A" w:rsidRPr="000655AF">
        <w:t>could</w:t>
      </w:r>
      <w:r w:rsidR="00E1776E" w:rsidRPr="000655AF">
        <w:t xml:space="preserve"> be overcome by coordinated</w:t>
      </w:r>
      <w:r w:rsidR="00920A9A" w:rsidRPr="000655AF">
        <w:t xml:space="preserve"> EU</w:t>
      </w:r>
      <w:r w:rsidR="00E1776E" w:rsidRPr="000655AF">
        <w:t xml:space="preserve"> efforts. The development </w:t>
      </w:r>
      <w:r w:rsidR="00920A9A" w:rsidRPr="000655AF">
        <w:t>of</w:t>
      </w:r>
      <w:r w:rsidR="00E1776E" w:rsidRPr="000655AF">
        <w:t xml:space="preserve"> Open Data is to be welcomed but a bottom-up process within research communities</w:t>
      </w:r>
      <w:r w:rsidR="00C028E6" w:rsidRPr="000655AF">
        <w:t xml:space="preserve"> is still required</w:t>
      </w:r>
      <w:r w:rsidR="00E1776E" w:rsidRPr="000655AF">
        <w:t xml:space="preserve"> for defining the details of its implementation</w:t>
      </w:r>
      <w:r w:rsidRPr="000655AF">
        <w:t>.</w:t>
      </w:r>
    </w:p>
    <w:p w:rsidR="00143DC2" w:rsidRPr="000655AF" w:rsidRDefault="00143DC2"/>
    <w:p w:rsidR="00143DC2" w:rsidRPr="000655AF" w:rsidRDefault="00143DC2" w:rsidP="00BB172B">
      <w:pPr>
        <w:pStyle w:val="Naslov2"/>
        <w:ind w:left="567" w:hanging="567"/>
      </w:pPr>
      <w:r w:rsidRPr="000655AF">
        <w:t xml:space="preserve">A </w:t>
      </w:r>
      <w:r w:rsidRPr="004F58C8">
        <w:rPr>
          <w:highlight w:val="cyan"/>
        </w:rPr>
        <w:t>European science cloud</w:t>
      </w:r>
      <w:r w:rsidRPr="000655AF">
        <w:t>, as suggested by the Commission, could offer Europe's researchers a virtual environment to store, share and re-use their data across disciplines and borders. The EESC supports this initiative</w:t>
      </w:r>
      <w:r w:rsidR="006B3D40" w:rsidRPr="000655AF">
        <w:rPr>
          <w:rStyle w:val="Referencafusnote"/>
        </w:rPr>
        <w:footnoteReference w:id="4"/>
      </w:r>
      <w:r w:rsidRPr="000655AF">
        <w:t xml:space="preserve">, believing that it could be an important element for </w:t>
      </w:r>
      <w:r w:rsidR="006F3C46" w:rsidRPr="000655AF">
        <w:t>O</w:t>
      </w:r>
      <w:r w:rsidRPr="000655AF">
        <w:t xml:space="preserve">pen </w:t>
      </w:r>
      <w:r w:rsidR="006F3C46" w:rsidRPr="000655AF">
        <w:t>D</w:t>
      </w:r>
      <w:r w:rsidRPr="000655AF">
        <w:t xml:space="preserve">ata. </w:t>
      </w:r>
      <w:r w:rsidR="00826F9A" w:rsidRPr="000655AF">
        <w:t>W</w:t>
      </w:r>
      <w:r w:rsidRPr="000655AF">
        <w:t xml:space="preserve">e urge the Commission </w:t>
      </w:r>
      <w:proofErr w:type="gramStart"/>
      <w:r w:rsidRPr="000655AF">
        <w:t>to carefully take</w:t>
      </w:r>
      <w:proofErr w:type="gramEnd"/>
      <w:r w:rsidRPr="000655AF">
        <w:t xml:space="preserve"> into account cross-border cloud systems in specific </w:t>
      </w:r>
      <w:r w:rsidRPr="000655AF">
        <w:lastRenderedPageBreak/>
        <w:t>science communities, which already exist and work well, as well as national activities aiming to achieve the same objective.</w:t>
      </w:r>
    </w:p>
    <w:p w:rsidR="00381016" w:rsidRPr="000655AF" w:rsidRDefault="00381016"/>
    <w:p w:rsidR="00381016" w:rsidRPr="000655AF" w:rsidRDefault="00381016" w:rsidP="00BB172B">
      <w:pPr>
        <w:pStyle w:val="Naslov1"/>
        <w:keepNext/>
        <w:ind w:left="567" w:hanging="567"/>
        <w:rPr>
          <w:b/>
        </w:rPr>
      </w:pPr>
      <w:r w:rsidRPr="000655AF">
        <w:rPr>
          <w:b/>
        </w:rPr>
        <w:t>Towards Efficient Processes</w:t>
      </w:r>
    </w:p>
    <w:p w:rsidR="00381016" w:rsidRPr="000655AF" w:rsidRDefault="00381016" w:rsidP="002264E8">
      <w:pPr>
        <w:keepNext/>
      </w:pPr>
    </w:p>
    <w:p w:rsidR="00731B0C" w:rsidRPr="000655AF" w:rsidRDefault="00731B0C" w:rsidP="00BB172B">
      <w:pPr>
        <w:pStyle w:val="Naslov2"/>
        <w:ind w:left="567" w:hanging="567"/>
      </w:pPr>
      <w:r w:rsidRPr="000655AF">
        <w:t xml:space="preserve">The EESC welcomes </w:t>
      </w:r>
      <w:r w:rsidR="000E476C" w:rsidRPr="000655AF">
        <w:t xml:space="preserve">the </w:t>
      </w:r>
      <w:r w:rsidRPr="000655AF">
        <w:t>European Commission</w:t>
      </w:r>
      <w:r w:rsidR="000E476C" w:rsidRPr="000655AF">
        <w:t>'s efforts</w:t>
      </w:r>
      <w:r w:rsidRPr="000655AF">
        <w:t xml:space="preserve"> </w:t>
      </w:r>
      <w:r w:rsidR="000E476C" w:rsidRPr="000655AF">
        <w:t>to add</w:t>
      </w:r>
      <w:r w:rsidRPr="000655AF">
        <w:t xml:space="preserve"> further </w:t>
      </w:r>
      <w:r w:rsidR="00423872" w:rsidRPr="000655AF">
        <w:t>‘</w:t>
      </w:r>
      <w:r w:rsidRPr="000655AF">
        <w:t>simplifications</w:t>
      </w:r>
      <w:r w:rsidR="002B517B" w:rsidRPr="000655AF">
        <w:t>’</w:t>
      </w:r>
      <w:r w:rsidRPr="000655AF">
        <w:t xml:space="preserve"> </w:t>
      </w:r>
      <w:r w:rsidR="000E476C" w:rsidRPr="000655AF">
        <w:t>to</w:t>
      </w:r>
      <w:r w:rsidRPr="000655AF">
        <w:t xml:space="preserve"> Horizon 2020. In particular</w:t>
      </w:r>
      <w:r w:rsidR="000E476C" w:rsidRPr="000655AF">
        <w:t xml:space="preserve">, </w:t>
      </w:r>
      <w:proofErr w:type="gramStart"/>
      <w:r w:rsidRPr="004F58C8">
        <w:rPr>
          <w:highlight w:val="cyan"/>
        </w:rPr>
        <w:t>smaller players will be attracted by less bureaucracy, easier rules and more legal certainty</w:t>
      </w:r>
      <w:proofErr w:type="gramEnd"/>
      <w:r w:rsidRPr="004F58C8">
        <w:rPr>
          <w:highlight w:val="cyan"/>
        </w:rPr>
        <w:t>.</w:t>
      </w:r>
      <w:r w:rsidRPr="000655AF">
        <w:t xml:space="preserve"> </w:t>
      </w:r>
    </w:p>
    <w:p w:rsidR="00731B0C" w:rsidRPr="000655AF" w:rsidRDefault="00731B0C"/>
    <w:p w:rsidR="00731B0C" w:rsidRPr="000655AF" w:rsidRDefault="00731B0C" w:rsidP="00BB172B">
      <w:pPr>
        <w:pStyle w:val="Naslov2"/>
        <w:ind w:left="567" w:hanging="567"/>
      </w:pPr>
      <w:r w:rsidRPr="000655AF">
        <w:t xml:space="preserve">The newly introduced SME instrument is a positive example </w:t>
      </w:r>
      <w:r w:rsidR="000E476C" w:rsidRPr="000655AF">
        <w:t>of</w:t>
      </w:r>
      <w:r w:rsidRPr="000655AF">
        <w:t xml:space="preserve"> an efficient application, selection and monitoring process. Businesses have </w:t>
      </w:r>
      <w:r w:rsidR="000E476C" w:rsidRPr="000655AF">
        <w:t>taken a very positive view of</w:t>
      </w:r>
      <w:r w:rsidRPr="000655AF">
        <w:t xml:space="preserve"> elements </w:t>
      </w:r>
      <w:r w:rsidR="000E476C" w:rsidRPr="000655AF">
        <w:t>such as</w:t>
      </w:r>
      <w:r w:rsidRPr="000655AF">
        <w:t xml:space="preserve"> the </w:t>
      </w:r>
      <w:r w:rsidRPr="004F58C8">
        <w:rPr>
          <w:highlight w:val="yellow"/>
        </w:rPr>
        <w:t xml:space="preserve">short time to grant </w:t>
      </w:r>
      <w:r w:rsidR="000E476C" w:rsidRPr="004F58C8">
        <w:rPr>
          <w:highlight w:val="yellow"/>
        </w:rPr>
        <w:t>loan</w:t>
      </w:r>
      <w:r w:rsidRPr="004F58C8">
        <w:rPr>
          <w:highlight w:val="yellow"/>
        </w:rPr>
        <w:t xml:space="preserve"> applications</w:t>
      </w:r>
      <w:r w:rsidRPr="000655AF">
        <w:t xml:space="preserve"> and </w:t>
      </w:r>
      <w:r w:rsidRPr="004F58C8">
        <w:rPr>
          <w:highlight w:val="yellow"/>
        </w:rPr>
        <w:t>funding for bottom-up ideas</w:t>
      </w:r>
      <w:r w:rsidR="000E476C" w:rsidRPr="000655AF">
        <w:t xml:space="preserve">. </w:t>
      </w:r>
      <w:r w:rsidRPr="000655AF">
        <w:t xml:space="preserve">These elements </w:t>
      </w:r>
      <w:proofErr w:type="gramStart"/>
      <w:r w:rsidRPr="000655AF">
        <w:t>should be used</w:t>
      </w:r>
      <w:proofErr w:type="gramEnd"/>
      <w:r w:rsidRPr="000655AF">
        <w:t xml:space="preserve"> as a best practice for other instruments in H2020.</w:t>
      </w:r>
    </w:p>
    <w:p w:rsidR="00731B0C" w:rsidRPr="000655AF" w:rsidRDefault="00731B0C" w:rsidP="0077555F"/>
    <w:p w:rsidR="00381016" w:rsidRPr="00E05E7B" w:rsidRDefault="00731B0C" w:rsidP="00BB172B">
      <w:pPr>
        <w:pStyle w:val="Naslov2"/>
        <w:ind w:left="567" w:hanging="567"/>
        <w:rPr>
          <w:highlight w:val="yellow"/>
        </w:rPr>
      </w:pPr>
      <w:r w:rsidRPr="000655AF">
        <w:t xml:space="preserve">Many major achievements </w:t>
      </w:r>
      <w:proofErr w:type="gramStart"/>
      <w:r w:rsidRPr="000655AF">
        <w:t>have been made</w:t>
      </w:r>
      <w:proofErr w:type="gramEnd"/>
      <w:r w:rsidRPr="000655AF">
        <w:t xml:space="preserve"> in simplifying rules and tools such as the much-improved </w:t>
      </w:r>
      <w:r w:rsidRPr="004F58C8">
        <w:rPr>
          <w:highlight w:val="yellow"/>
        </w:rPr>
        <w:t>participant portal</w:t>
      </w:r>
      <w:r w:rsidRPr="000655AF">
        <w:t xml:space="preserve">, but important issues will still have to be resolved, since they severely </w:t>
      </w:r>
      <w:r w:rsidRPr="004F58C8">
        <w:rPr>
          <w:highlight w:val="yellow"/>
        </w:rPr>
        <w:t>damage the attractiveness</w:t>
      </w:r>
      <w:r w:rsidRPr="000655AF">
        <w:t xml:space="preserve"> of the programme</w:t>
      </w:r>
      <w:r w:rsidR="000E476C" w:rsidRPr="000655AF">
        <w:t xml:space="preserve">. For example, </w:t>
      </w:r>
      <w:r w:rsidR="000E476C" w:rsidRPr="004F58C8">
        <w:rPr>
          <w:highlight w:val="yellow"/>
        </w:rPr>
        <w:t>i</w:t>
      </w:r>
      <w:r w:rsidRPr="004F58C8">
        <w:rPr>
          <w:highlight w:val="yellow"/>
        </w:rPr>
        <w:t>nternal invoicing</w:t>
      </w:r>
      <w:r w:rsidRPr="000655AF">
        <w:t xml:space="preserve"> as used by the majority of </w:t>
      </w:r>
      <w:r w:rsidR="000E476C" w:rsidRPr="000655AF">
        <w:t>i</w:t>
      </w:r>
      <w:r w:rsidRPr="000655AF">
        <w:t xml:space="preserve">ndustry and </w:t>
      </w:r>
      <w:r w:rsidR="000E476C" w:rsidRPr="000655AF">
        <w:t>academic</w:t>
      </w:r>
      <w:r w:rsidRPr="000655AF">
        <w:t xml:space="preserve"> organisations is made nearly impossible, and </w:t>
      </w:r>
      <w:r w:rsidRPr="00E05E7B">
        <w:rPr>
          <w:highlight w:val="yellow"/>
        </w:rPr>
        <w:t>stricter provisions on</w:t>
      </w:r>
      <w:r w:rsidR="000E476C" w:rsidRPr="00E05E7B">
        <w:rPr>
          <w:highlight w:val="yellow"/>
        </w:rPr>
        <w:t xml:space="preserve"> the</w:t>
      </w:r>
      <w:r w:rsidRPr="00E05E7B">
        <w:rPr>
          <w:highlight w:val="yellow"/>
        </w:rPr>
        <w:t xml:space="preserve"> </w:t>
      </w:r>
      <w:r w:rsidR="00D13361" w:rsidRPr="00E05E7B">
        <w:rPr>
          <w:highlight w:val="yellow"/>
        </w:rPr>
        <w:t>"</w:t>
      </w:r>
      <w:r w:rsidRPr="00E05E7B">
        <w:rPr>
          <w:highlight w:val="yellow"/>
        </w:rPr>
        <w:t>full capacity</w:t>
      </w:r>
      <w:r w:rsidR="00D13361" w:rsidRPr="00E05E7B">
        <w:rPr>
          <w:highlight w:val="yellow"/>
        </w:rPr>
        <w:t>"</w:t>
      </w:r>
      <w:r w:rsidRPr="00E05E7B">
        <w:rPr>
          <w:highlight w:val="yellow"/>
        </w:rPr>
        <w:t xml:space="preserve"> of facilities</w:t>
      </w:r>
      <w:r w:rsidRPr="000655AF">
        <w:t xml:space="preserve"> used </w:t>
      </w:r>
      <w:r w:rsidR="000E476C" w:rsidRPr="000655AF">
        <w:t xml:space="preserve">has </w:t>
      </w:r>
      <w:r w:rsidRPr="000655AF">
        <w:t>add</w:t>
      </w:r>
      <w:r w:rsidR="000E476C" w:rsidRPr="000655AF">
        <w:t>ed</w:t>
      </w:r>
      <w:r w:rsidRPr="000655AF">
        <w:t xml:space="preserve"> </w:t>
      </w:r>
      <w:r w:rsidR="000E476C" w:rsidRPr="000655AF">
        <w:t>further complications</w:t>
      </w:r>
      <w:r w:rsidRPr="000655AF">
        <w:t xml:space="preserve">. The </w:t>
      </w:r>
      <w:r w:rsidRPr="00E05E7B">
        <w:rPr>
          <w:highlight w:val="yellow"/>
        </w:rPr>
        <w:t>reluctance of the Commission to reimburse individual actual salary costs</w:t>
      </w:r>
      <w:r w:rsidRPr="000655AF">
        <w:t xml:space="preserve"> rather than past values of the last closed financial year </w:t>
      </w:r>
      <w:proofErr w:type="gramStart"/>
      <w:r w:rsidR="00C07F1D" w:rsidRPr="000655AF">
        <w:t>ha</w:t>
      </w:r>
      <w:r w:rsidR="00ED154F" w:rsidRPr="000655AF">
        <w:t xml:space="preserve">s </w:t>
      </w:r>
      <w:r w:rsidR="00C07F1D" w:rsidRPr="000655AF">
        <w:t>been partly address</w:t>
      </w:r>
      <w:r w:rsidR="00ED154F" w:rsidRPr="000655AF">
        <w:t>ed</w:t>
      </w:r>
      <w:proofErr w:type="gramEnd"/>
      <w:r w:rsidR="00ED154F" w:rsidRPr="000655AF">
        <w:t xml:space="preserve"> but still </w:t>
      </w:r>
      <w:r w:rsidRPr="000655AF">
        <w:t xml:space="preserve">poses an </w:t>
      </w:r>
      <w:r w:rsidRPr="00E05E7B">
        <w:rPr>
          <w:highlight w:val="yellow"/>
        </w:rPr>
        <w:t>extra administrative burden</w:t>
      </w:r>
      <w:r w:rsidRPr="000655AF">
        <w:t xml:space="preserve">. The Horizon 2020 regulations still often require </w:t>
      </w:r>
      <w:r w:rsidRPr="00E05E7B">
        <w:rPr>
          <w:highlight w:val="yellow"/>
        </w:rPr>
        <w:t>parallel bookkeeping</w:t>
      </w:r>
      <w:r w:rsidRPr="000655AF">
        <w:t>.</w:t>
      </w:r>
      <w:r w:rsidR="00D13361" w:rsidRPr="000655AF">
        <w:t xml:space="preserve"> </w:t>
      </w:r>
      <w:r w:rsidRPr="000655AF">
        <w:t xml:space="preserve">The massive administrative expertise still needed by the participants to implement these facets of H2020 makes participation </w:t>
      </w:r>
      <w:r w:rsidRPr="00E05E7B">
        <w:rPr>
          <w:highlight w:val="yellow"/>
        </w:rPr>
        <w:t>especially cumbersome for SME</w:t>
      </w:r>
      <w:r w:rsidR="006A76AA" w:rsidRPr="00E05E7B">
        <w:rPr>
          <w:highlight w:val="yellow"/>
        </w:rPr>
        <w:t>s</w:t>
      </w:r>
      <w:r w:rsidRPr="000655AF">
        <w:t xml:space="preserve"> </w:t>
      </w:r>
      <w:proofErr w:type="gramStart"/>
      <w:r w:rsidRPr="000655AF">
        <w:t>and also</w:t>
      </w:r>
      <w:proofErr w:type="gramEnd"/>
      <w:r w:rsidRPr="000655AF">
        <w:t xml:space="preserve"> </w:t>
      </w:r>
      <w:r w:rsidRPr="00E05E7B">
        <w:rPr>
          <w:highlight w:val="yellow"/>
        </w:rPr>
        <w:t>discourages international partners</w:t>
      </w:r>
      <w:r w:rsidR="00381016" w:rsidRPr="00E05E7B">
        <w:rPr>
          <w:highlight w:val="yellow"/>
        </w:rPr>
        <w:t>.</w:t>
      </w:r>
    </w:p>
    <w:p w:rsidR="00381016" w:rsidRPr="000655AF" w:rsidRDefault="00381016"/>
    <w:p w:rsidR="00381016" w:rsidRPr="008D1D98" w:rsidRDefault="00381016" w:rsidP="00BB172B">
      <w:pPr>
        <w:pStyle w:val="Naslov2"/>
        <w:ind w:left="567" w:hanging="567"/>
      </w:pPr>
      <w:r w:rsidRPr="000655AF">
        <w:t xml:space="preserve">The EESC thus encourages </w:t>
      </w:r>
      <w:r w:rsidR="00731B0C" w:rsidRPr="000655AF">
        <w:t xml:space="preserve">the </w:t>
      </w:r>
      <w:r w:rsidRPr="000655AF">
        <w:t xml:space="preserve">Commission </w:t>
      </w:r>
      <w:r w:rsidR="00362786" w:rsidRPr="00E05E7B">
        <w:rPr>
          <w:highlight w:val="cyan"/>
        </w:rPr>
        <w:t xml:space="preserve">to further </w:t>
      </w:r>
      <w:r w:rsidR="006A76AA" w:rsidRPr="00E05E7B">
        <w:rPr>
          <w:highlight w:val="cyan"/>
        </w:rPr>
        <w:t>simplify</w:t>
      </w:r>
      <w:r w:rsidR="00362786" w:rsidRPr="000655AF">
        <w:t xml:space="preserve"> Horizon 2020 and to respect the Horizon 2020 Rules for </w:t>
      </w:r>
      <w:proofErr w:type="gramStart"/>
      <w:r w:rsidR="00362786" w:rsidRPr="000655AF">
        <w:t>Participation which</w:t>
      </w:r>
      <w:proofErr w:type="gramEnd"/>
      <w:r w:rsidR="00362786" w:rsidRPr="000655AF">
        <w:t xml:space="preserve"> </w:t>
      </w:r>
      <w:r w:rsidR="006A76AA" w:rsidRPr="000655AF">
        <w:t>envisage</w:t>
      </w:r>
      <w:r w:rsidR="00362786" w:rsidRPr="000655AF">
        <w:t xml:space="preserve"> a </w:t>
      </w:r>
      <w:r w:rsidR="00D13361" w:rsidRPr="000655AF">
        <w:t>"</w:t>
      </w:r>
      <w:r w:rsidR="00362786" w:rsidRPr="000655AF">
        <w:t>wider acceptance of the usual cost accounting practices of the beneficiaries</w:t>
      </w:r>
      <w:r w:rsidR="00D13361" w:rsidRPr="000655AF">
        <w:t>"</w:t>
      </w:r>
      <w:r w:rsidR="002631BE" w:rsidRPr="000655AF">
        <w:t xml:space="preserve">. It also </w:t>
      </w:r>
      <w:r w:rsidRPr="000655AF">
        <w:t>recommends that reflections on future framework programmes should endeavour to make further progress in this direction, accepting participants</w:t>
      </w:r>
      <w:r w:rsidR="00984496" w:rsidRPr="000655AF">
        <w:t>'</w:t>
      </w:r>
      <w:r w:rsidRPr="000655AF">
        <w:t xml:space="preserve"> usual accounting principles wherever possible by starting from the principle that compliance with national rules is the main criterion, as long as these meet agreed standards. Those standards might be developed and tested in collaboration with the </w:t>
      </w:r>
      <w:r w:rsidRPr="008D1D98">
        <w:t xml:space="preserve">European Court of Auditors. </w:t>
      </w:r>
    </w:p>
    <w:p w:rsidR="00381016" w:rsidRPr="000655AF" w:rsidRDefault="00381016"/>
    <w:p w:rsidR="00376D05" w:rsidRPr="000655AF" w:rsidRDefault="00F67EE6" w:rsidP="00BB172B">
      <w:pPr>
        <w:pStyle w:val="Naslov2"/>
        <w:ind w:left="567" w:hanging="567"/>
      </w:pPr>
      <w:r w:rsidRPr="00E05E7B">
        <w:rPr>
          <w:highlight w:val="yellow"/>
        </w:rPr>
        <w:t xml:space="preserve">In view of the next Framework </w:t>
      </w:r>
      <w:proofErr w:type="gramStart"/>
      <w:r w:rsidRPr="00E05E7B">
        <w:rPr>
          <w:highlight w:val="yellow"/>
        </w:rPr>
        <w:t>Programme</w:t>
      </w:r>
      <w:proofErr w:type="gramEnd"/>
      <w:r w:rsidRPr="000655AF">
        <w:t xml:space="preserve"> the EESC also strongly urges refraining from setting up more instruments and encourages the Commission instead to actively reduce the number of instruments and also to benefit from the evaluation of the JTI to limit them to the most effective ones.</w:t>
      </w:r>
    </w:p>
    <w:p w:rsidR="00381016" w:rsidRPr="000655AF" w:rsidRDefault="00381016"/>
    <w:p w:rsidR="00381016" w:rsidRPr="000655AF" w:rsidRDefault="00381016" w:rsidP="00BB172B">
      <w:pPr>
        <w:pStyle w:val="Naslov2"/>
        <w:ind w:left="567" w:hanging="567"/>
      </w:pPr>
      <w:r w:rsidRPr="000655AF">
        <w:t>The EESC, in line with the European Parliament</w:t>
      </w:r>
      <w:r w:rsidR="00984496" w:rsidRPr="000655AF">
        <w:t>'</w:t>
      </w:r>
      <w:r w:rsidRPr="000655AF">
        <w:t xml:space="preserve">s research committee (ITRE), calls for </w:t>
      </w:r>
      <w:r w:rsidRPr="008D1D98">
        <w:rPr>
          <w:highlight w:val="yellow"/>
        </w:rPr>
        <w:t>EUR</w:t>
      </w:r>
      <w:r w:rsidR="00984496" w:rsidRPr="008D1D98">
        <w:rPr>
          <w:highlight w:val="yellow"/>
        </w:rPr>
        <w:t> </w:t>
      </w:r>
      <w:r w:rsidRPr="008D1D98">
        <w:rPr>
          <w:highlight w:val="yellow"/>
        </w:rPr>
        <w:t xml:space="preserve">2.2 </w:t>
      </w:r>
      <w:proofErr w:type="gramStart"/>
      <w:r w:rsidRPr="008D1D98">
        <w:rPr>
          <w:highlight w:val="yellow"/>
        </w:rPr>
        <w:t>billion</w:t>
      </w:r>
      <w:proofErr w:type="gramEnd"/>
      <w:r w:rsidRPr="008D1D98">
        <w:rPr>
          <w:highlight w:val="yellow"/>
        </w:rPr>
        <w:t xml:space="preserve"> to be restored</w:t>
      </w:r>
      <w:r w:rsidRPr="000655AF">
        <w:t xml:space="preserve"> from the EFSI back to the EU</w:t>
      </w:r>
      <w:r w:rsidR="00984496" w:rsidRPr="000655AF">
        <w:t>'</w:t>
      </w:r>
      <w:r w:rsidRPr="000655AF">
        <w:t xml:space="preserve">s Horizon 2020 research and innovation programme </w:t>
      </w:r>
      <w:r w:rsidR="00984496" w:rsidRPr="000655AF">
        <w:t xml:space="preserve">to </w:t>
      </w:r>
      <w:r w:rsidRPr="000655AF">
        <w:t>compensat</w:t>
      </w:r>
      <w:r w:rsidR="00984496" w:rsidRPr="000655AF">
        <w:t>e</w:t>
      </w:r>
      <w:r w:rsidRPr="000655AF">
        <w:t xml:space="preserve"> </w:t>
      </w:r>
      <w:r w:rsidR="00984496" w:rsidRPr="000655AF">
        <w:t>for</w:t>
      </w:r>
      <w:r w:rsidRPr="000655AF">
        <w:t xml:space="preserve"> the considerable negative impact the cuts have. The EFSI invests in projects that </w:t>
      </w:r>
      <w:proofErr w:type="gramStart"/>
      <w:r w:rsidRPr="000655AF">
        <w:t>cannot be seen</w:t>
      </w:r>
      <w:proofErr w:type="gramEnd"/>
      <w:r w:rsidRPr="000655AF">
        <w:t xml:space="preserve"> as compensation for those projects that can no longer be carried out under Horizon 2020</w:t>
      </w:r>
      <w:r w:rsidR="006A76AA" w:rsidRPr="000655AF">
        <w:t>, as</w:t>
      </w:r>
      <w:r w:rsidR="004D08E5" w:rsidRPr="000655AF">
        <w:t xml:space="preserve"> </w:t>
      </w:r>
      <w:r w:rsidR="004D08E5" w:rsidRPr="008D1D98">
        <w:rPr>
          <w:highlight w:val="yellow"/>
        </w:rPr>
        <w:t>the vast majority of the EFSI projects do not address research aspects but the implementation of existing technologies</w:t>
      </w:r>
      <w:r w:rsidR="004D08E5" w:rsidRPr="000655AF">
        <w:t xml:space="preserve">. This certainly has </w:t>
      </w:r>
      <w:r w:rsidR="004D08E5" w:rsidRPr="000655AF">
        <w:lastRenderedPageBreak/>
        <w:t xml:space="preserve">merit, but it must not limit the source of innovative new technologies for the competitiveness of </w:t>
      </w:r>
      <w:proofErr w:type="gramStart"/>
      <w:r w:rsidR="004D08E5" w:rsidRPr="000655AF">
        <w:t>Europe which</w:t>
      </w:r>
      <w:proofErr w:type="gramEnd"/>
      <w:r w:rsidR="004D08E5" w:rsidRPr="000655AF">
        <w:t xml:space="preserve"> Horizon 2020 can provide.</w:t>
      </w:r>
    </w:p>
    <w:p w:rsidR="00381016" w:rsidRPr="000655AF" w:rsidRDefault="00381016"/>
    <w:p w:rsidR="00381016" w:rsidRPr="000655AF" w:rsidRDefault="00381016" w:rsidP="00BB172B">
      <w:pPr>
        <w:pStyle w:val="Naslov2"/>
        <w:ind w:left="567" w:hanging="567"/>
      </w:pPr>
      <w:r w:rsidRPr="000655AF">
        <w:t xml:space="preserve">In Horizon 2020, </w:t>
      </w:r>
      <w:r w:rsidR="00F05CF7" w:rsidRPr="000655AF">
        <w:t xml:space="preserve">classical co-funding for projects in which the Commission allocates grants to specific projects, thus contributing to the total costs, is increasingly losing ground to financial instruments. </w:t>
      </w:r>
      <w:r w:rsidR="00F05CF7" w:rsidRPr="008D1D98">
        <w:rPr>
          <w:highlight w:val="yellow"/>
        </w:rPr>
        <w:t>The financing of research via loans</w:t>
      </w:r>
      <w:r w:rsidR="00F05CF7" w:rsidRPr="000655AF">
        <w:t xml:space="preserve"> is however, for both industry and for academia, useful only at the </w:t>
      </w:r>
      <w:proofErr w:type="gramStart"/>
      <w:r w:rsidR="00F05CF7" w:rsidRPr="008D1D98">
        <w:rPr>
          <w:highlight w:val="yellow"/>
        </w:rPr>
        <w:t>final end</w:t>
      </w:r>
      <w:proofErr w:type="gramEnd"/>
      <w:r w:rsidR="00F05CF7" w:rsidRPr="008D1D98">
        <w:rPr>
          <w:highlight w:val="yellow"/>
        </w:rPr>
        <w:t xml:space="preserve"> of the innovation chain</w:t>
      </w:r>
      <w:r w:rsidR="00F05CF7" w:rsidRPr="000655AF">
        <w:t xml:space="preserve"> and not in the area of break-through innovation. In addition, </w:t>
      </w:r>
      <w:proofErr w:type="gramStart"/>
      <w:r w:rsidR="00F05CF7" w:rsidRPr="00F57B57">
        <w:rPr>
          <w:highlight w:val="yellow"/>
        </w:rPr>
        <w:t>many relevant players are not addressed</w:t>
      </w:r>
      <w:r w:rsidR="00F05CF7" w:rsidRPr="000655AF">
        <w:t xml:space="preserve"> by these instruments</w:t>
      </w:r>
      <w:proofErr w:type="gramEnd"/>
      <w:r w:rsidR="00F05CF7" w:rsidRPr="000655AF">
        <w:t xml:space="preserve"> since </w:t>
      </w:r>
      <w:r w:rsidR="00F05CF7" w:rsidRPr="00F57B57">
        <w:rPr>
          <w:highlight w:val="yellow"/>
        </w:rPr>
        <w:t>public research organisations in many Member States</w:t>
      </w:r>
      <w:r w:rsidR="00F05CF7" w:rsidRPr="000655AF">
        <w:t xml:space="preserve"> are </w:t>
      </w:r>
      <w:r w:rsidR="00F05CF7" w:rsidRPr="00F57B57">
        <w:rPr>
          <w:highlight w:val="yellow"/>
        </w:rPr>
        <w:t>not allowed to take out loans</w:t>
      </w:r>
      <w:r w:rsidR="00F05CF7" w:rsidRPr="000655AF">
        <w:t>. The EESC thus urges that both Horizon 2020 and its successors should remain focused primarily on co-funding</w:t>
      </w:r>
      <w:r w:rsidRPr="000655AF">
        <w:t xml:space="preserve">. </w:t>
      </w:r>
    </w:p>
    <w:p w:rsidR="00381016" w:rsidRPr="000655AF" w:rsidRDefault="00381016"/>
    <w:p w:rsidR="005944C8" w:rsidRPr="000655AF" w:rsidRDefault="005944C8" w:rsidP="00BB172B">
      <w:pPr>
        <w:pStyle w:val="Naslov2"/>
        <w:ind w:left="567" w:hanging="567"/>
      </w:pPr>
      <w:r w:rsidRPr="000655AF">
        <w:t xml:space="preserve">The EESC therefore supports the Council conclusions of 27 May 2016 stressing that, within the framework of Horizon 2020, care </w:t>
      </w:r>
      <w:proofErr w:type="gramStart"/>
      <w:r w:rsidRPr="000655AF">
        <w:t>should be taken</w:t>
      </w:r>
      <w:proofErr w:type="gramEnd"/>
      <w:r w:rsidRPr="000655AF">
        <w:t xml:space="preserve"> to ensure that loan-based financing is not further expanded to the detriment of grant-based R&amp;I funding. Europe’s </w:t>
      </w:r>
      <w:r w:rsidR="006A76AA" w:rsidRPr="000655AF">
        <w:t>i</w:t>
      </w:r>
      <w:r w:rsidRPr="000655AF">
        <w:t xml:space="preserve">ndustry needs access to game-changing new technologies derived from </w:t>
      </w:r>
      <w:r w:rsidRPr="00F57B57">
        <w:rPr>
          <w:highlight w:val="yellow"/>
        </w:rPr>
        <w:t>high-risk projects</w:t>
      </w:r>
      <w:r w:rsidRPr="000655AF">
        <w:t xml:space="preserve">, and </w:t>
      </w:r>
      <w:r w:rsidRPr="00F57B57">
        <w:rPr>
          <w:highlight w:val="yellow"/>
        </w:rPr>
        <w:t xml:space="preserve">these </w:t>
      </w:r>
      <w:proofErr w:type="gramStart"/>
      <w:r w:rsidRPr="00F57B57">
        <w:rPr>
          <w:highlight w:val="yellow"/>
        </w:rPr>
        <w:t>will not be discovered</w:t>
      </w:r>
      <w:proofErr w:type="gramEnd"/>
      <w:r w:rsidRPr="00F57B57">
        <w:rPr>
          <w:highlight w:val="yellow"/>
        </w:rPr>
        <w:t xml:space="preserve"> via loans</w:t>
      </w:r>
      <w:r w:rsidRPr="000655AF">
        <w:t>.</w:t>
      </w:r>
    </w:p>
    <w:p w:rsidR="005944C8" w:rsidRPr="000655AF" w:rsidRDefault="005944C8"/>
    <w:p w:rsidR="00381016" w:rsidRPr="000655AF" w:rsidRDefault="00081E9B" w:rsidP="00BB172B">
      <w:pPr>
        <w:pStyle w:val="Naslov2"/>
        <w:ind w:left="567" w:hanging="567"/>
      </w:pPr>
      <w:r w:rsidRPr="000655AF">
        <w:t xml:space="preserve">The first years of Horizon 2020 </w:t>
      </w:r>
      <w:r w:rsidR="006A76AA" w:rsidRPr="000655AF">
        <w:t>saw</w:t>
      </w:r>
      <w:r w:rsidRPr="000655AF">
        <w:t xml:space="preserve"> </w:t>
      </w:r>
      <w:r w:rsidRPr="00F57B57">
        <w:rPr>
          <w:highlight w:val="yellow"/>
        </w:rPr>
        <w:t xml:space="preserve">success </w:t>
      </w:r>
      <w:proofErr w:type="gramStart"/>
      <w:r w:rsidRPr="00F57B57">
        <w:rPr>
          <w:highlight w:val="yellow"/>
        </w:rPr>
        <w:t>rates which</w:t>
      </w:r>
      <w:proofErr w:type="gramEnd"/>
      <w:r w:rsidR="00D35574" w:rsidRPr="000655AF">
        <w:t xml:space="preserve"> in some cases were </w:t>
      </w:r>
      <w:r w:rsidR="00D35574" w:rsidRPr="00F57B57">
        <w:rPr>
          <w:highlight w:val="yellow"/>
        </w:rPr>
        <w:t>as low as 3</w:t>
      </w:r>
      <w:r w:rsidR="00D13361" w:rsidRPr="00F57B57">
        <w:rPr>
          <w:highlight w:val="yellow"/>
        </w:rPr>
        <w:t>%</w:t>
      </w:r>
      <w:r w:rsidRPr="000655AF">
        <w:t xml:space="preserve">. In general, success rates have changed from </w:t>
      </w:r>
      <w:r w:rsidRPr="00F57B57">
        <w:rPr>
          <w:highlight w:val="yellow"/>
        </w:rPr>
        <w:t>1:5 in FP7</w:t>
      </w:r>
      <w:r w:rsidRPr="000655AF">
        <w:t xml:space="preserve"> to </w:t>
      </w:r>
      <w:r w:rsidRPr="00F57B57">
        <w:rPr>
          <w:highlight w:val="yellow"/>
        </w:rPr>
        <w:t>1:8 in Horizon 2020</w:t>
      </w:r>
      <w:r w:rsidRPr="000655AF">
        <w:t>.</w:t>
      </w:r>
      <w:r w:rsidR="00D13361" w:rsidRPr="000655AF">
        <w:t xml:space="preserve"> </w:t>
      </w:r>
      <w:r w:rsidRPr="000655AF">
        <w:t xml:space="preserve">Reasonable success rates need to </w:t>
      </w:r>
      <w:proofErr w:type="gramStart"/>
      <w:r w:rsidRPr="000655AF">
        <w:t>be achieved</w:t>
      </w:r>
      <w:proofErr w:type="gramEnd"/>
      <w:r w:rsidRPr="000655AF">
        <w:t xml:space="preserve"> to avoid </w:t>
      </w:r>
      <w:r w:rsidR="006A76AA" w:rsidRPr="000655AF">
        <w:t>wasting resources</w:t>
      </w:r>
      <w:r w:rsidRPr="000655AF">
        <w:t xml:space="preserve"> as well as</w:t>
      </w:r>
      <w:r w:rsidR="006A76AA" w:rsidRPr="000655AF">
        <w:t xml:space="preserve"> causing</w:t>
      </w:r>
      <w:r w:rsidRPr="000655AF">
        <w:t xml:space="preserve"> frustration </w:t>
      </w:r>
      <w:r w:rsidR="006A76AA" w:rsidRPr="000655AF">
        <w:t>among</w:t>
      </w:r>
      <w:r w:rsidRPr="000655AF">
        <w:t xml:space="preserve"> the best industry and </w:t>
      </w:r>
      <w:r w:rsidR="006A76AA" w:rsidRPr="000655AF">
        <w:t>academic</w:t>
      </w:r>
      <w:r w:rsidRPr="000655AF">
        <w:t xml:space="preserve"> participants.</w:t>
      </w:r>
      <w:r w:rsidR="00D13361" w:rsidRPr="000655AF">
        <w:t xml:space="preserve"> </w:t>
      </w:r>
      <w:r w:rsidR="006A76AA" w:rsidRPr="000655AF">
        <w:t>When</w:t>
      </w:r>
      <w:r w:rsidRPr="000655AF">
        <w:t xml:space="preserve"> success rates </w:t>
      </w:r>
      <w:r w:rsidR="006A76AA" w:rsidRPr="000655AF">
        <w:t xml:space="preserve">are much lower, </w:t>
      </w:r>
      <w:r w:rsidRPr="000655AF">
        <w:t xml:space="preserve">the costs generated by the efforts in proposals can exceed the funding provided. A variety of proposals for countermeasures </w:t>
      </w:r>
      <w:r w:rsidR="006A76AA" w:rsidRPr="000655AF">
        <w:t>are</w:t>
      </w:r>
      <w:r w:rsidRPr="000655AF">
        <w:t xml:space="preserve"> available (impact more precisely defined, two stage processes, professional advisors, follow best practice) and the Commission should implement them </w:t>
      </w:r>
      <w:r w:rsidR="006A76AA" w:rsidRPr="000655AF">
        <w:t xml:space="preserve">immediately </w:t>
      </w:r>
      <w:r w:rsidRPr="000655AF">
        <w:t>for the remaining Horizon 2020</w:t>
      </w:r>
      <w:r w:rsidR="006A76AA" w:rsidRPr="000655AF">
        <w:t xml:space="preserve"> period</w:t>
      </w:r>
      <w:r w:rsidRPr="000655AF">
        <w:t>.</w:t>
      </w:r>
    </w:p>
    <w:p w:rsidR="00381016" w:rsidRPr="000655AF" w:rsidRDefault="00381016"/>
    <w:p w:rsidR="00381016" w:rsidRPr="000655AF" w:rsidRDefault="00381016" w:rsidP="00BB172B">
      <w:pPr>
        <w:pStyle w:val="Naslov2"/>
        <w:ind w:left="567" w:hanging="567"/>
      </w:pPr>
      <w:r w:rsidRPr="00F57B57">
        <w:rPr>
          <w:highlight w:val="yellow"/>
        </w:rPr>
        <w:t>The Seal of Excellence</w:t>
      </w:r>
      <w:r w:rsidRPr="000655AF">
        <w:t xml:space="preserve"> for excellent applications that </w:t>
      </w:r>
      <w:proofErr w:type="gramStart"/>
      <w:r w:rsidRPr="000655AF">
        <w:t>were not funded</w:t>
      </w:r>
      <w:proofErr w:type="gramEnd"/>
      <w:r w:rsidRPr="000655AF">
        <w:t xml:space="preserve"> might be particularly good for SMEs who are hoping to obtain funding from the European Structural and Investment Funds. The question of whether the rules about state aid could cause problems in these cases still needs to </w:t>
      </w:r>
      <w:proofErr w:type="gramStart"/>
      <w:r w:rsidRPr="000655AF">
        <w:t>be clarified</w:t>
      </w:r>
      <w:proofErr w:type="gramEnd"/>
      <w:r w:rsidRPr="000655AF">
        <w:t>.</w:t>
      </w:r>
    </w:p>
    <w:p w:rsidR="00381016" w:rsidRPr="000655AF" w:rsidRDefault="00381016"/>
    <w:p w:rsidR="00381016" w:rsidRPr="000655AF" w:rsidRDefault="006917F2" w:rsidP="003A6160">
      <w:pPr>
        <w:pStyle w:val="Naslov2"/>
      </w:pPr>
      <w:proofErr w:type="gramStart"/>
      <w:r w:rsidRPr="000655AF">
        <w:t>T</w:t>
      </w:r>
      <w:r w:rsidR="00381016" w:rsidRPr="000655AF">
        <w:t xml:space="preserve">he EESC recommends that the interim evaluation should analyse how Horizon 2020 contributes </w:t>
      </w:r>
      <w:r w:rsidR="00381016" w:rsidRPr="00F57B57">
        <w:rPr>
          <w:highlight w:val="yellow"/>
        </w:rPr>
        <w:t>qualitatively</w:t>
      </w:r>
      <w:r w:rsidR="00381016" w:rsidRPr="000655AF">
        <w:t xml:space="preserve"> to its objectives of fostering excellent science, addressing urgent societal challenges and supporting industrial leadership for greater economic </w:t>
      </w:r>
      <w:r w:rsidRPr="000655AF">
        <w:t xml:space="preserve">and inclusive </w:t>
      </w:r>
      <w:r w:rsidR="00381016" w:rsidRPr="000655AF">
        <w:t xml:space="preserve">growth </w:t>
      </w:r>
      <w:r w:rsidR="00E35173" w:rsidRPr="000655AF">
        <w:t xml:space="preserve">that creates jobs </w:t>
      </w:r>
      <w:r w:rsidR="00381016" w:rsidRPr="000655AF">
        <w:t xml:space="preserve">in Europe, rather than focussing too </w:t>
      </w:r>
      <w:r w:rsidR="00E35173" w:rsidRPr="000655AF">
        <w:t xml:space="preserve">much </w:t>
      </w:r>
      <w:r w:rsidR="00381016" w:rsidRPr="000655AF">
        <w:t xml:space="preserve">on </w:t>
      </w:r>
      <w:r w:rsidR="00381016" w:rsidRPr="00F57B57">
        <w:rPr>
          <w:highlight w:val="yellow"/>
        </w:rPr>
        <w:t>quantitative</w:t>
      </w:r>
      <w:r w:rsidR="00381016" w:rsidRPr="000655AF">
        <w:t xml:space="preserve"> measures such as counting publications, patents and return</w:t>
      </w:r>
      <w:r w:rsidR="00E35173" w:rsidRPr="000655AF">
        <w:t>s</w:t>
      </w:r>
      <w:r w:rsidR="00381016" w:rsidRPr="000655AF">
        <w:t xml:space="preserve"> on investm</w:t>
      </w:r>
      <w:bookmarkStart w:id="0" w:name="_GoBack"/>
      <w:bookmarkEnd w:id="0"/>
      <w:r w:rsidR="00381016" w:rsidRPr="000655AF">
        <w:t>ent, as the FP7 evaluation</w:t>
      </w:r>
      <w:r w:rsidR="00E35173" w:rsidRPr="000655AF">
        <w:t xml:space="preserve"> has done.</w:t>
      </w:r>
      <w:proofErr w:type="gramEnd"/>
      <w:r w:rsidR="00E35173" w:rsidRPr="000655AF">
        <w:t xml:space="preserve"> </w:t>
      </w:r>
      <w:r w:rsidR="00381016" w:rsidRPr="000655AF">
        <w:t xml:space="preserve">It also recommends establishing compatible indicators </w:t>
      </w:r>
      <w:r w:rsidR="00E35173" w:rsidRPr="000655AF">
        <w:t xml:space="preserve">for both </w:t>
      </w:r>
      <w:r w:rsidR="00381016" w:rsidRPr="000655AF">
        <w:t xml:space="preserve">research and innovation </w:t>
      </w:r>
      <w:r w:rsidR="009A1736" w:rsidRPr="000655AF">
        <w:t>support</w:t>
      </w:r>
      <w:r w:rsidR="00381016" w:rsidRPr="000655AF">
        <w:t xml:space="preserve"> within the structural funds and the </w:t>
      </w:r>
      <w:r w:rsidR="003A6160" w:rsidRPr="000655AF">
        <w:t>European Fund for Strategic Investments</w:t>
      </w:r>
      <w:r w:rsidR="00381016" w:rsidRPr="000655AF">
        <w:t>.</w:t>
      </w:r>
    </w:p>
    <w:p w:rsidR="00381016" w:rsidRPr="000655AF" w:rsidRDefault="00381016">
      <w:pPr>
        <w:ind w:left="720"/>
        <w:jc w:val="center"/>
      </w:pPr>
    </w:p>
    <w:p w:rsidR="00870305" w:rsidRPr="000655AF" w:rsidRDefault="00870305">
      <w:pPr>
        <w:ind w:left="720"/>
        <w:jc w:val="center"/>
      </w:pPr>
      <w:r w:rsidRPr="000655AF">
        <w:t>____________</w:t>
      </w:r>
    </w:p>
    <w:sectPr w:rsidR="00870305" w:rsidRPr="000655AF" w:rsidSect="00AF5697">
      <w:headerReference w:type="even" r:id="rId16"/>
      <w:headerReference w:type="default" r:id="rId17"/>
      <w:footerReference w:type="even" r:id="rId18"/>
      <w:footerReference w:type="default" r:id="rId19"/>
      <w:headerReference w:type="first" r:id="rId20"/>
      <w:footerReference w:type="first" r:id="rId21"/>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C2A" w:rsidRDefault="005B2C2A">
      <w:r>
        <w:separator/>
      </w:r>
    </w:p>
  </w:endnote>
  <w:endnote w:type="continuationSeparator" w:id="0">
    <w:p w:rsidR="005B2C2A" w:rsidRDefault="005B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2E6" w:rsidRPr="00AF5697" w:rsidRDefault="003932E6" w:rsidP="00AF5697">
    <w:pPr>
      <w:pStyle w:val="Podnoje"/>
    </w:pPr>
    <w:r>
      <w:t xml:space="preserve">INT/792 – EESC-2016-03274-00-02-PA-TRA (EN) </w:t>
    </w:r>
    <w:r>
      <w:fldChar w:fldCharType="begin"/>
    </w:r>
    <w:r>
      <w:instrText xml:space="preserve"> PAGE  \* Arabic  \* MERGEFORMAT </w:instrText>
    </w:r>
    <w:r>
      <w:fldChar w:fldCharType="separate"/>
    </w:r>
    <w:r w:rsidR="001A7040">
      <w:rPr>
        <w:noProof/>
      </w:rPr>
      <w:t>1</w:t>
    </w:r>
    <w:r>
      <w:fldChar w:fldCharType="end"/>
    </w:r>
    <w:r>
      <w:t>/</w:t>
    </w:r>
    <w:r>
      <w:fldChar w:fldCharType="begin"/>
    </w:r>
    <w:r>
      <w:instrText xml:space="preserve"> = </w:instrText>
    </w:r>
    <w:r>
      <w:fldChar w:fldCharType="begin"/>
    </w:r>
    <w:r>
      <w:instrText xml:space="preserve"> NUMPAGES </w:instrText>
    </w:r>
    <w:r>
      <w:fldChar w:fldCharType="separate"/>
    </w:r>
    <w:r w:rsidR="001A7040">
      <w:rPr>
        <w:noProof/>
      </w:rPr>
      <w:instrText>11</w:instrText>
    </w:r>
    <w:r>
      <w:fldChar w:fldCharType="end"/>
    </w:r>
    <w:r>
      <w:instrText xml:space="preserve"> </w:instrText>
    </w:r>
    <w:r>
      <w:fldChar w:fldCharType="separate"/>
    </w:r>
    <w:r w:rsidR="001A7040">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2E6" w:rsidRPr="00AF5697" w:rsidRDefault="003932E6" w:rsidP="00AF5697">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2E6" w:rsidRPr="00AF5697" w:rsidRDefault="003932E6" w:rsidP="00AF5697">
    <w:pPr>
      <w:pStyle w:val="Podnoje"/>
    </w:pPr>
    <w:r>
      <w:t xml:space="preserve">INT/792 – EESC-2016-03274-00-02-PA-TRA (EN) </w:t>
    </w:r>
    <w:r>
      <w:fldChar w:fldCharType="begin"/>
    </w:r>
    <w:r>
      <w:instrText xml:space="preserve"> PAGE  \* Arabic  \* MERGEFORMAT </w:instrText>
    </w:r>
    <w:r>
      <w:fldChar w:fldCharType="separate"/>
    </w:r>
    <w:r w:rsidR="00F57B57">
      <w:rPr>
        <w:noProof/>
      </w:rPr>
      <w:t>11</w:t>
    </w:r>
    <w:r>
      <w:fldChar w:fldCharType="end"/>
    </w:r>
    <w:r>
      <w:t>/</w:t>
    </w:r>
    <w:r>
      <w:fldChar w:fldCharType="begin"/>
    </w:r>
    <w:r>
      <w:instrText xml:space="preserve"> = </w:instrText>
    </w:r>
    <w:r>
      <w:fldChar w:fldCharType="begin"/>
    </w:r>
    <w:r>
      <w:instrText xml:space="preserve"> NUMPAGES </w:instrText>
    </w:r>
    <w:r>
      <w:fldChar w:fldCharType="separate"/>
    </w:r>
    <w:r w:rsidR="00F57B57">
      <w:rPr>
        <w:noProof/>
      </w:rPr>
      <w:instrText>11</w:instrText>
    </w:r>
    <w:r>
      <w:fldChar w:fldCharType="end"/>
    </w:r>
    <w:r>
      <w:instrText xml:space="preserve"> </w:instrText>
    </w:r>
    <w:r>
      <w:fldChar w:fldCharType="separate"/>
    </w:r>
    <w:r w:rsidR="00F57B57">
      <w:rPr>
        <w:noProof/>
      </w:rPr>
      <w:t>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2E6" w:rsidRPr="00AF5697" w:rsidRDefault="003932E6" w:rsidP="00AF569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C2A" w:rsidRDefault="005B2C2A">
      <w:r>
        <w:separator/>
      </w:r>
    </w:p>
  </w:footnote>
  <w:footnote w:type="continuationSeparator" w:id="0">
    <w:p w:rsidR="005B2C2A" w:rsidRDefault="005B2C2A">
      <w:r>
        <w:continuationSeparator/>
      </w:r>
    </w:p>
  </w:footnote>
  <w:footnote w:id="1">
    <w:p w:rsidR="003932E6" w:rsidRPr="0077555F" w:rsidRDefault="003932E6" w:rsidP="00BB172B">
      <w:pPr>
        <w:pStyle w:val="Tekstfusnote"/>
        <w:ind w:left="567" w:hanging="567"/>
      </w:pPr>
      <w:r w:rsidRPr="0077555F">
        <w:rPr>
          <w:rStyle w:val="Referencafusnote"/>
        </w:rPr>
        <w:footnoteRef/>
      </w:r>
      <w:r w:rsidRPr="0077555F">
        <w:t xml:space="preserve"> </w:t>
      </w:r>
      <w:r w:rsidRPr="0077555F">
        <w:tab/>
      </w:r>
      <w:hyperlink r:id="rId1" w:history="1">
        <w:r w:rsidRPr="0077555F">
          <w:rPr>
            <w:rStyle w:val="Hiperveza"/>
          </w:rPr>
          <w:t>OJ C 181, 21.06.2012, p. 111</w:t>
        </w:r>
      </w:hyperlink>
      <w:r w:rsidRPr="0077555F">
        <w:t>.</w:t>
      </w:r>
    </w:p>
  </w:footnote>
  <w:footnote w:id="2">
    <w:p w:rsidR="003932E6" w:rsidRPr="0077555F" w:rsidRDefault="003932E6" w:rsidP="00BB172B">
      <w:pPr>
        <w:pStyle w:val="Tekstfusnote"/>
        <w:ind w:left="567" w:hanging="567"/>
      </w:pPr>
      <w:r w:rsidRPr="0077555F">
        <w:rPr>
          <w:rStyle w:val="Referencafusnote"/>
        </w:rPr>
        <w:footnoteRef/>
      </w:r>
      <w:r w:rsidRPr="0077555F">
        <w:t xml:space="preserve"> </w:t>
      </w:r>
      <w:r w:rsidRPr="0077555F">
        <w:tab/>
      </w:r>
      <w:hyperlink r:id="rId2" w:history="1">
        <w:r w:rsidRPr="0077555F">
          <w:rPr>
            <w:rStyle w:val="Hiperveza"/>
          </w:rPr>
          <w:t>OJ C 229, 31.07.2012, p. 13</w:t>
        </w:r>
      </w:hyperlink>
    </w:p>
  </w:footnote>
  <w:footnote w:id="3">
    <w:p w:rsidR="003932E6" w:rsidRPr="0077555F" w:rsidRDefault="003932E6" w:rsidP="00BB172B">
      <w:pPr>
        <w:pStyle w:val="Tekstfusnote"/>
        <w:ind w:left="567" w:hanging="567"/>
      </w:pPr>
      <w:r w:rsidRPr="0077555F">
        <w:rPr>
          <w:rStyle w:val="Referencafusnote"/>
        </w:rPr>
        <w:footnoteRef/>
      </w:r>
      <w:r w:rsidRPr="0077555F">
        <w:t xml:space="preserve"> </w:t>
      </w:r>
      <w:r w:rsidRPr="0077555F">
        <w:tab/>
      </w:r>
      <w:hyperlink r:id="rId3" w:history="1">
        <w:r w:rsidRPr="0077555F">
          <w:rPr>
            <w:rStyle w:val="Hiperveza"/>
          </w:rPr>
          <w:t>OJ C 76, 14.03.2013, p. 48</w:t>
        </w:r>
      </w:hyperlink>
      <w:r w:rsidRPr="0077555F">
        <w:t>.</w:t>
      </w:r>
    </w:p>
  </w:footnote>
  <w:footnote w:id="4">
    <w:p w:rsidR="003932E6" w:rsidRPr="0077555F" w:rsidRDefault="003932E6" w:rsidP="00BB172B">
      <w:pPr>
        <w:pStyle w:val="Tekstfusnote"/>
        <w:ind w:left="567" w:hanging="567"/>
      </w:pPr>
      <w:r w:rsidRPr="0077555F">
        <w:rPr>
          <w:rStyle w:val="Referencafusnote"/>
        </w:rPr>
        <w:footnoteRef/>
      </w:r>
      <w:r w:rsidRPr="0077555F">
        <w:t xml:space="preserve"> </w:t>
      </w:r>
      <w:r w:rsidRPr="0077555F">
        <w:tab/>
        <w:t>Opinion on European Cloud Initiative – Building a competitive data and knowledge economy in Europe (TEN 592), not yet adopted.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2E6" w:rsidRPr="00AF5697" w:rsidRDefault="003932E6" w:rsidP="00AF5697">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2E6" w:rsidRPr="00AF5697" w:rsidRDefault="003932E6" w:rsidP="00AF5697">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2E6" w:rsidRPr="00AF5697" w:rsidRDefault="003932E6" w:rsidP="00AF569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3in;height:3in" o:bullet="t"/>
    </w:pict>
  </w:numPicBullet>
  <w:numPicBullet w:numPicBulletId="1">
    <w:pict>
      <v:shape id="_x0000_i1156" type="#_x0000_t75" style="width:3in;height:3in" o:bullet="t"/>
    </w:pict>
  </w:numPicBullet>
  <w:numPicBullet w:numPicBulletId="2">
    <w:pict>
      <v:shape id="_x0000_i1157" type="#_x0000_t75" style="width:3in;height:3in" o:bullet="t"/>
    </w:pict>
  </w:numPicBullet>
  <w:abstractNum w:abstractNumId="0" w15:restartNumberingAfterBreak="0">
    <w:nsid w:val="FFFFFFFB"/>
    <w:multiLevelType w:val="multilevel"/>
    <w:tmpl w:val="9E92C594"/>
    <w:lvl w:ilvl="0">
      <w:start w:val="1"/>
      <w:numFmt w:val="decimal"/>
      <w:pStyle w:val="Naslov1"/>
      <w:lvlText w:val="%1."/>
      <w:legacy w:legacy="1" w:legacySpace="0" w:legacyIndent="0"/>
      <w:lvlJc w:val="left"/>
      <w:rPr>
        <w:b w:val="0"/>
      </w:rPr>
    </w:lvl>
    <w:lvl w:ilvl="1">
      <w:start w:val="1"/>
      <w:numFmt w:val="decimal"/>
      <w:pStyle w:val="Naslov2"/>
      <w:lvlText w:val="%1.%2"/>
      <w:legacy w:legacy="1" w:legacySpace="144" w:legacyIndent="0"/>
      <w:lvlJc w:val="left"/>
    </w:lvl>
    <w:lvl w:ilvl="2">
      <w:start w:val="1"/>
      <w:numFmt w:val="decimal"/>
      <w:pStyle w:val="Naslov3"/>
      <w:lvlText w:val="%1.%2.%3"/>
      <w:legacy w:legacy="1" w:legacySpace="144" w:legacyIndent="0"/>
      <w:lvlJc w:val="left"/>
      <w:rPr>
        <w:b w:val="0"/>
      </w:rPr>
    </w:lvl>
    <w:lvl w:ilvl="3">
      <w:start w:val="1"/>
      <w:numFmt w:val="decimal"/>
      <w:pStyle w:val="Naslov4"/>
      <w:lvlText w:val="%1.%2.%3.%4"/>
      <w:legacy w:legacy="1" w:legacySpace="144" w:legacyIndent="0"/>
      <w:lvlJc w:val="left"/>
    </w:lvl>
    <w:lvl w:ilvl="4">
      <w:start w:val="1"/>
      <w:numFmt w:val="decimal"/>
      <w:pStyle w:val="Naslov5"/>
      <w:lvlText w:val="%1.%2.%3.%4.%5"/>
      <w:legacy w:legacy="1" w:legacySpace="144" w:legacyIndent="0"/>
      <w:lvlJc w:val="left"/>
    </w:lvl>
    <w:lvl w:ilvl="5">
      <w:start w:val="1"/>
      <w:numFmt w:val="decimal"/>
      <w:pStyle w:val="Naslov6"/>
      <w:lvlText w:val="%1.%2.%3.%4.%5.%6"/>
      <w:legacy w:legacy="1" w:legacySpace="144" w:legacyIndent="0"/>
      <w:lvlJc w:val="left"/>
    </w:lvl>
    <w:lvl w:ilvl="6">
      <w:start w:val="1"/>
      <w:numFmt w:val="decimal"/>
      <w:pStyle w:val="Naslov7"/>
      <w:lvlText w:val="%1.%2.%3.%4.%5.%6.%7"/>
      <w:legacy w:legacy="1" w:legacySpace="144" w:legacyIndent="0"/>
      <w:lvlJc w:val="left"/>
    </w:lvl>
    <w:lvl w:ilvl="7">
      <w:start w:val="1"/>
      <w:numFmt w:val="decimal"/>
      <w:pStyle w:val="Naslov8"/>
      <w:lvlText w:val="%1.%2.%3.%4.%5.%6.%7.%8"/>
      <w:legacy w:legacy="1" w:legacySpace="144" w:legacyIndent="0"/>
      <w:lvlJc w:val="left"/>
    </w:lvl>
    <w:lvl w:ilvl="8">
      <w:start w:val="1"/>
      <w:numFmt w:val="decimal"/>
      <w:pStyle w:val="Naslov9"/>
      <w:lvlText w:val="%1.%2.%3.%4.%5.%6.%7.%8.%9"/>
      <w:legacy w:legacy="1" w:legacySpace="144" w:legacyIndent="0"/>
      <w:lvlJc w:val="left"/>
    </w:lvl>
  </w:abstractNum>
  <w:abstractNum w:abstractNumId="1" w15:restartNumberingAfterBreak="0">
    <w:nsid w:val="10B53604"/>
    <w:multiLevelType w:val="hybridMultilevel"/>
    <w:tmpl w:val="CDA857E4"/>
    <w:lvl w:ilvl="0" w:tplc="C4DA706A">
      <w:start w:val="1"/>
      <w:numFmt w:val="bullet"/>
      <w:lvlRestart w:val="0"/>
      <w:lvlText w:val="-"/>
      <w:lvlJc w:val="left"/>
      <w:pPr>
        <w:tabs>
          <w:tab w:val="num" w:pos="0"/>
        </w:tabs>
        <w:ind w:left="369" w:hanging="369"/>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15D3C"/>
    <w:multiLevelType w:val="hybridMultilevel"/>
    <w:tmpl w:val="10E45F6C"/>
    <w:lvl w:ilvl="0" w:tplc="BD9ED26C">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1B9F52D0"/>
    <w:multiLevelType w:val="multilevel"/>
    <w:tmpl w:val="5A78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96186"/>
    <w:multiLevelType w:val="hybridMultilevel"/>
    <w:tmpl w:val="284063B2"/>
    <w:lvl w:ilvl="0" w:tplc="BD9ED26C">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F4D0C04"/>
    <w:multiLevelType w:val="hybridMultilevel"/>
    <w:tmpl w:val="8D9AE68A"/>
    <w:lvl w:ilvl="0" w:tplc="BD9ED26C">
      <w:numFmt w:val="bullet"/>
      <w:lvlText w:val="-"/>
      <w:lvlJc w:val="left"/>
      <w:pPr>
        <w:ind w:left="1080" w:hanging="360"/>
      </w:pPr>
      <w:rPr>
        <w:rFonts w:ascii="Times New Roman" w:eastAsia="Times New Roman" w:hAnsi="Times New Roman" w:cs="Times New Roman" w:hint="default"/>
      </w:rPr>
    </w:lvl>
    <w:lvl w:ilvl="1" w:tplc="080C0003">
      <w:start w:val="1"/>
      <w:numFmt w:val="bullet"/>
      <w:lvlText w:val="o"/>
      <w:lvlJc w:val="left"/>
      <w:pPr>
        <w:ind w:left="1800" w:hanging="360"/>
      </w:pPr>
      <w:rPr>
        <w:rFonts w:ascii="Courier New" w:hAnsi="Courier New" w:cs="Courier New" w:hint="default"/>
      </w:rPr>
    </w:lvl>
    <w:lvl w:ilvl="2" w:tplc="DD20AD24">
      <w:numFmt w:val="bullet"/>
      <w:lvlText w:val="•"/>
      <w:lvlJc w:val="left"/>
      <w:pPr>
        <w:ind w:left="2520" w:hanging="360"/>
      </w:pPr>
      <w:rPr>
        <w:rFonts w:ascii="Times New Roman" w:eastAsia="Times New Roman" w:hAnsi="Times New Roman" w:cs="Times New Roman"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2D5D733A"/>
    <w:multiLevelType w:val="multilevel"/>
    <w:tmpl w:val="A22E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23609"/>
    <w:multiLevelType w:val="hybridMultilevel"/>
    <w:tmpl w:val="F9140B3A"/>
    <w:lvl w:ilvl="0" w:tplc="BD9ED26C">
      <w:numFmt w:val="bullet"/>
      <w:lvlText w:val="-"/>
      <w:lvlJc w:val="left"/>
      <w:pPr>
        <w:ind w:left="720" w:hanging="360"/>
      </w:pPr>
      <w:rPr>
        <w:rFonts w:ascii="Times New Roman" w:eastAsia="Times New Roman" w:hAnsi="Times New Roman" w:cs="Times New Roman" w:hint="default"/>
      </w:rPr>
    </w:lvl>
    <w:lvl w:ilvl="1" w:tplc="BE80B270">
      <w:start w:val="6"/>
      <w:numFmt w:val="bullet"/>
      <w:lvlText w:val="-"/>
      <w:lvlJc w:val="left"/>
      <w:pPr>
        <w:ind w:left="1440" w:hanging="360"/>
      </w:pPr>
      <w:rPr>
        <w:rFonts w:ascii="Times New Roman" w:eastAsia="SimSun" w:hAnsi="Times New Roman" w:cs="Times New Roman" w:hint="default"/>
      </w:rPr>
    </w:lvl>
    <w:lvl w:ilvl="2" w:tplc="BD9ED26C">
      <w:numFmt w:val="bullet"/>
      <w:lvlText w:val="-"/>
      <w:lvlJc w:val="left"/>
      <w:pPr>
        <w:ind w:left="2160" w:hanging="360"/>
      </w:pPr>
      <w:rPr>
        <w:rFonts w:ascii="Times New Roman" w:eastAsia="Times New Roman" w:hAnsi="Times New Roman" w:cs="Times New Roman"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42D3D4E"/>
    <w:multiLevelType w:val="hybridMultilevel"/>
    <w:tmpl w:val="1690D02C"/>
    <w:lvl w:ilvl="0" w:tplc="81866964">
      <w:start w:val="1"/>
      <w:numFmt w:val="bullet"/>
      <w:lvlText w:val="˗"/>
      <w:lvlJc w:val="left"/>
      <w:pPr>
        <w:ind w:left="1080" w:hanging="360"/>
      </w:pPr>
      <w:rPr>
        <w:rFonts w:ascii="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483849EB"/>
    <w:multiLevelType w:val="hybridMultilevel"/>
    <w:tmpl w:val="B324DEC4"/>
    <w:lvl w:ilvl="0" w:tplc="EC40E63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48F65339"/>
    <w:multiLevelType w:val="hybridMultilevel"/>
    <w:tmpl w:val="48FEC18E"/>
    <w:lvl w:ilvl="0" w:tplc="BD9ED26C">
      <w:numFmt w:val="bullet"/>
      <w:lvlText w:val="-"/>
      <w:lvlJc w:val="left"/>
      <w:pPr>
        <w:ind w:left="720" w:hanging="360"/>
      </w:pPr>
      <w:rPr>
        <w:rFonts w:ascii="Times New Roman" w:eastAsia="Times New Roman" w:hAnsi="Times New Roman" w:cs="Times New Roman" w:hint="default"/>
      </w:rPr>
    </w:lvl>
    <w:lvl w:ilvl="1" w:tplc="BD9ED26C">
      <w:numFmt w:val="bullet"/>
      <w:lvlText w:val="-"/>
      <w:lvlJc w:val="left"/>
      <w:pPr>
        <w:ind w:left="1440" w:hanging="36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C632FEC"/>
    <w:multiLevelType w:val="hybridMultilevel"/>
    <w:tmpl w:val="680C1BA6"/>
    <w:lvl w:ilvl="0" w:tplc="BD9ED26C">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4DB15402"/>
    <w:multiLevelType w:val="hybridMultilevel"/>
    <w:tmpl w:val="44A2821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48D677A"/>
    <w:multiLevelType w:val="hybridMultilevel"/>
    <w:tmpl w:val="441EA822"/>
    <w:lvl w:ilvl="0" w:tplc="0415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15:restartNumberingAfterBreak="0">
    <w:nsid w:val="54A746A4"/>
    <w:multiLevelType w:val="hybridMultilevel"/>
    <w:tmpl w:val="83668022"/>
    <w:lvl w:ilvl="0" w:tplc="E4089510">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578002C8"/>
    <w:multiLevelType w:val="hybridMultilevel"/>
    <w:tmpl w:val="CB18E8EA"/>
    <w:lvl w:ilvl="0" w:tplc="BD9ED26C">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58EA502E"/>
    <w:multiLevelType w:val="hybridMultilevel"/>
    <w:tmpl w:val="060C3E44"/>
    <w:lvl w:ilvl="0" w:tplc="EA72A54C">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5B1D326A"/>
    <w:multiLevelType w:val="hybridMultilevel"/>
    <w:tmpl w:val="D6AE711A"/>
    <w:lvl w:ilvl="0" w:tplc="91EC6E82">
      <w:start w:val="3"/>
      <w:numFmt w:val="bullet"/>
      <w:lvlText w:val="•"/>
      <w:lvlJc w:val="left"/>
      <w:pPr>
        <w:ind w:left="1080" w:hanging="72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1E612BA"/>
    <w:multiLevelType w:val="hybridMultilevel"/>
    <w:tmpl w:val="1CB4A3C6"/>
    <w:lvl w:ilvl="0" w:tplc="81866964">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4654A9D"/>
    <w:multiLevelType w:val="hybridMultilevel"/>
    <w:tmpl w:val="36C0B0CE"/>
    <w:lvl w:ilvl="0" w:tplc="967216DE">
      <w:start w:val="1"/>
      <w:numFmt w:val="bullet"/>
      <w:lvlRestart w:val="0"/>
      <w:lvlText w:val="-"/>
      <w:lvlJc w:val="left"/>
      <w:pPr>
        <w:tabs>
          <w:tab w:val="num" w:pos="0"/>
        </w:tabs>
        <w:ind w:left="369" w:hanging="369"/>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4A0275C"/>
    <w:multiLevelType w:val="hybridMultilevel"/>
    <w:tmpl w:val="6CEC387E"/>
    <w:lvl w:ilvl="0" w:tplc="81866964">
      <w:start w:val="1"/>
      <w:numFmt w:val="bullet"/>
      <w:lvlText w:val="˗"/>
      <w:lvlJc w:val="left"/>
      <w:pPr>
        <w:ind w:left="1080" w:hanging="360"/>
      </w:pPr>
      <w:rPr>
        <w:rFonts w:ascii="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69D84E19"/>
    <w:multiLevelType w:val="hybridMultilevel"/>
    <w:tmpl w:val="5BE867D4"/>
    <w:lvl w:ilvl="0" w:tplc="A89E61E8">
      <w:numFmt w:val="bullet"/>
      <w:lvlText w:val="•"/>
      <w:lvlJc w:val="left"/>
      <w:pPr>
        <w:ind w:left="1080" w:hanging="72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9F10512"/>
    <w:multiLevelType w:val="multilevel"/>
    <w:tmpl w:val="54AE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EE69CC"/>
    <w:multiLevelType w:val="hybridMultilevel"/>
    <w:tmpl w:val="F9524C5A"/>
    <w:lvl w:ilvl="0" w:tplc="81866964">
      <w:start w:val="1"/>
      <w:numFmt w:val="bullet"/>
      <w:lvlText w:val="˗"/>
      <w:lvlJc w:val="left"/>
      <w:pPr>
        <w:ind w:left="1080" w:hanging="360"/>
      </w:pPr>
      <w:rPr>
        <w:rFonts w:ascii="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15:restartNumberingAfterBreak="0">
    <w:nsid w:val="73CB05E1"/>
    <w:multiLevelType w:val="multilevel"/>
    <w:tmpl w:val="5AA6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383691"/>
    <w:multiLevelType w:val="hybridMultilevel"/>
    <w:tmpl w:val="E2F21694"/>
    <w:lvl w:ilvl="0" w:tplc="13AE511A">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9981849"/>
    <w:multiLevelType w:val="hybridMultilevel"/>
    <w:tmpl w:val="D0F6E586"/>
    <w:lvl w:ilvl="0" w:tplc="81866964">
      <w:start w:val="1"/>
      <w:numFmt w:val="bullet"/>
      <w:lvlText w:val="˗"/>
      <w:lvlJc w:val="left"/>
      <w:pPr>
        <w:ind w:left="1080" w:hanging="360"/>
      </w:pPr>
      <w:rPr>
        <w:rFonts w:ascii="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15"/>
  </w:num>
  <w:num w:numId="4">
    <w:abstractNumId w:val="4"/>
  </w:num>
  <w:num w:numId="5">
    <w:abstractNumId w:val="10"/>
  </w:num>
  <w:num w:numId="6">
    <w:abstractNumId w:val="5"/>
  </w:num>
  <w:num w:numId="7">
    <w:abstractNumId w:val="7"/>
  </w:num>
  <w:num w:numId="8">
    <w:abstractNumId w:val="2"/>
  </w:num>
  <w:num w:numId="9">
    <w:abstractNumId w:val="14"/>
  </w:num>
  <w:num w:numId="10">
    <w:abstractNumId w:val="21"/>
  </w:num>
  <w:num w:numId="11">
    <w:abstractNumId w:val="22"/>
  </w:num>
  <w:num w:numId="12">
    <w:abstractNumId w:val="6"/>
  </w:num>
  <w:num w:numId="13">
    <w:abstractNumId w:val="3"/>
  </w:num>
  <w:num w:numId="14">
    <w:abstractNumId w:val="24"/>
  </w:num>
  <w:num w:numId="15">
    <w:abstractNumId w:val="26"/>
  </w:num>
  <w:num w:numId="16">
    <w:abstractNumId w:val="18"/>
  </w:num>
  <w:num w:numId="17">
    <w:abstractNumId w:val="16"/>
  </w:num>
  <w:num w:numId="18">
    <w:abstractNumId w:val="12"/>
  </w:num>
  <w:num w:numId="19">
    <w:abstractNumId w:val="9"/>
  </w:num>
  <w:num w:numId="20">
    <w:abstractNumId w:val="20"/>
  </w:num>
  <w:num w:numId="21">
    <w:abstractNumId w:val="8"/>
  </w:num>
  <w:num w:numId="22">
    <w:abstractNumId w:val="23"/>
  </w:num>
  <w:num w:numId="23">
    <w:abstractNumId w:val="17"/>
  </w:num>
  <w:num w:numId="24">
    <w:abstractNumId w:val="19"/>
  </w:num>
  <w:num w:numId="25">
    <w:abstractNumId w:val="1"/>
  </w:num>
  <w:num w:numId="26">
    <w:abstractNumId w:val="13"/>
  </w:num>
  <w:num w:numId="27">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266"/>
    <w:rsid w:val="00000C28"/>
    <w:rsid w:val="00002BC9"/>
    <w:rsid w:val="00003237"/>
    <w:rsid w:val="00005AEC"/>
    <w:rsid w:val="000068B6"/>
    <w:rsid w:val="00007799"/>
    <w:rsid w:val="00007BE9"/>
    <w:rsid w:val="0001074E"/>
    <w:rsid w:val="00010D3B"/>
    <w:rsid w:val="000128F0"/>
    <w:rsid w:val="00012CCB"/>
    <w:rsid w:val="000131AC"/>
    <w:rsid w:val="00017E38"/>
    <w:rsid w:val="00020F5C"/>
    <w:rsid w:val="000229A8"/>
    <w:rsid w:val="00023225"/>
    <w:rsid w:val="00025647"/>
    <w:rsid w:val="00025C96"/>
    <w:rsid w:val="00026052"/>
    <w:rsid w:val="00026450"/>
    <w:rsid w:val="00027080"/>
    <w:rsid w:val="0002751B"/>
    <w:rsid w:val="000276E9"/>
    <w:rsid w:val="000307A6"/>
    <w:rsid w:val="00030A03"/>
    <w:rsid w:val="000319A8"/>
    <w:rsid w:val="000320FB"/>
    <w:rsid w:val="0003249E"/>
    <w:rsid w:val="00033435"/>
    <w:rsid w:val="0003458E"/>
    <w:rsid w:val="000408E8"/>
    <w:rsid w:val="0004118C"/>
    <w:rsid w:val="0004261C"/>
    <w:rsid w:val="0004287B"/>
    <w:rsid w:val="000435C9"/>
    <w:rsid w:val="0004544E"/>
    <w:rsid w:val="000469A5"/>
    <w:rsid w:val="000478D7"/>
    <w:rsid w:val="00051E95"/>
    <w:rsid w:val="0005201A"/>
    <w:rsid w:val="0005284B"/>
    <w:rsid w:val="00052E8C"/>
    <w:rsid w:val="00061C2E"/>
    <w:rsid w:val="00063A9E"/>
    <w:rsid w:val="0006413A"/>
    <w:rsid w:val="000655AF"/>
    <w:rsid w:val="000705CA"/>
    <w:rsid w:val="00070A69"/>
    <w:rsid w:val="0007108B"/>
    <w:rsid w:val="00071A65"/>
    <w:rsid w:val="00071ED3"/>
    <w:rsid w:val="00072020"/>
    <w:rsid w:val="00072184"/>
    <w:rsid w:val="00072B24"/>
    <w:rsid w:val="00072E15"/>
    <w:rsid w:val="00073D70"/>
    <w:rsid w:val="00081E9B"/>
    <w:rsid w:val="0008208C"/>
    <w:rsid w:val="0008272A"/>
    <w:rsid w:val="000837EA"/>
    <w:rsid w:val="000852F6"/>
    <w:rsid w:val="00086B78"/>
    <w:rsid w:val="00086E0A"/>
    <w:rsid w:val="00087F59"/>
    <w:rsid w:val="00087FDB"/>
    <w:rsid w:val="000920BA"/>
    <w:rsid w:val="000931AD"/>
    <w:rsid w:val="00093BDD"/>
    <w:rsid w:val="00093C0F"/>
    <w:rsid w:val="00096699"/>
    <w:rsid w:val="000A27EE"/>
    <w:rsid w:val="000A2F2F"/>
    <w:rsid w:val="000A5658"/>
    <w:rsid w:val="000A615F"/>
    <w:rsid w:val="000A7C09"/>
    <w:rsid w:val="000B04F7"/>
    <w:rsid w:val="000B084D"/>
    <w:rsid w:val="000B0DFA"/>
    <w:rsid w:val="000B1A5F"/>
    <w:rsid w:val="000B2D1D"/>
    <w:rsid w:val="000B3A54"/>
    <w:rsid w:val="000B430E"/>
    <w:rsid w:val="000B456A"/>
    <w:rsid w:val="000B4861"/>
    <w:rsid w:val="000B6837"/>
    <w:rsid w:val="000C0288"/>
    <w:rsid w:val="000C292D"/>
    <w:rsid w:val="000C2A3C"/>
    <w:rsid w:val="000C2FAA"/>
    <w:rsid w:val="000C3889"/>
    <w:rsid w:val="000D036D"/>
    <w:rsid w:val="000D2ABD"/>
    <w:rsid w:val="000D3776"/>
    <w:rsid w:val="000D3DCC"/>
    <w:rsid w:val="000D5A01"/>
    <w:rsid w:val="000D64E6"/>
    <w:rsid w:val="000D65CB"/>
    <w:rsid w:val="000D7C6D"/>
    <w:rsid w:val="000E0374"/>
    <w:rsid w:val="000E476C"/>
    <w:rsid w:val="000E4A5F"/>
    <w:rsid w:val="000E590B"/>
    <w:rsid w:val="000E5ECD"/>
    <w:rsid w:val="000E62DF"/>
    <w:rsid w:val="000E770C"/>
    <w:rsid w:val="000E778A"/>
    <w:rsid w:val="000F0416"/>
    <w:rsid w:val="000F1C4A"/>
    <w:rsid w:val="000F2831"/>
    <w:rsid w:val="000F53D8"/>
    <w:rsid w:val="000F598F"/>
    <w:rsid w:val="000F5A0C"/>
    <w:rsid w:val="000F77E6"/>
    <w:rsid w:val="0010019E"/>
    <w:rsid w:val="001006D1"/>
    <w:rsid w:val="0010089E"/>
    <w:rsid w:val="00102469"/>
    <w:rsid w:val="001031C2"/>
    <w:rsid w:val="0010455F"/>
    <w:rsid w:val="0010520A"/>
    <w:rsid w:val="00106106"/>
    <w:rsid w:val="001073D7"/>
    <w:rsid w:val="00110A95"/>
    <w:rsid w:val="001117FD"/>
    <w:rsid w:val="00113642"/>
    <w:rsid w:val="001136B3"/>
    <w:rsid w:val="001157C1"/>
    <w:rsid w:val="0011596B"/>
    <w:rsid w:val="00116002"/>
    <w:rsid w:val="001167BC"/>
    <w:rsid w:val="001205E7"/>
    <w:rsid w:val="001245A2"/>
    <w:rsid w:val="001248F1"/>
    <w:rsid w:val="001273D5"/>
    <w:rsid w:val="00130094"/>
    <w:rsid w:val="00130F42"/>
    <w:rsid w:val="00131E66"/>
    <w:rsid w:val="0013362C"/>
    <w:rsid w:val="00133A4F"/>
    <w:rsid w:val="0013632D"/>
    <w:rsid w:val="001372FA"/>
    <w:rsid w:val="00141622"/>
    <w:rsid w:val="00142F5D"/>
    <w:rsid w:val="00143118"/>
    <w:rsid w:val="001433EB"/>
    <w:rsid w:val="00143529"/>
    <w:rsid w:val="00143888"/>
    <w:rsid w:val="00143A8C"/>
    <w:rsid w:val="00143DC2"/>
    <w:rsid w:val="00145983"/>
    <w:rsid w:val="00146279"/>
    <w:rsid w:val="001467EF"/>
    <w:rsid w:val="00147622"/>
    <w:rsid w:val="00147C66"/>
    <w:rsid w:val="0015081D"/>
    <w:rsid w:val="0015283B"/>
    <w:rsid w:val="001534C4"/>
    <w:rsid w:val="0015365A"/>
    <w:rsid w:val="001544B4"/>
    <w:rsid w:val="00155BFD"/>
    <w:rsid w:val="00156822"/>
    <w:rsid w:val="00157161"/>
    <w:rsid w:val="00157571"/>
    <w:rsid w:val="00157FD5"/>
    <w:rsid w:val="00160345"/>
    <w:rsid w:val="00160421"/>
    <w:rsid w:val="0016113E"/>
    <w:rsid w:val="00161C49"/>
    <w:rsid w:val="0016524D"/>
    <w:rsid w:val="00166B93"/>
    <w:rsid w:val="00170DD0"/>
    <w:rsid w:val="0017110E"/>
    <w:rsid w:val="001730AF"/>
    <w:rsid w:val="00173BF3"/>
    <w:rsid w:val="00174840"/>
    <w:rsid w:val="00176183"/>
    <w:rsid w:val="00177A1A"/>
    <w:rsid w:val="00177AE8"/>
    <w:rsid w:val="00177DE6"/>
    <w:rsid w:val="00177EFB"/>
    <w:rsid w:val="00181023"/>
    <w:rsid w:val="001819CC"/>
    <w:rsid w:val="00182EEE"/>
    <w:rsid w:val="00183670"/>
    <w:rsid w:val="00185289"/>
    <w:rsid w:val="00185A0D"/>
    <w:rsid w:val="00186EFC"/>
    <w:rsid w:val="00187BDF"/>
    <w:rsid w:val="00190E3E"/>
    <w:rsid w:val="00191F53"/>
    <w:rsid w:val="00192D4C"/>
    <w:rsid w:val="00192E98"/>
    <w:rsid w:val="00193C19"/>
    <w:rsid w:val="00194E8F"/>
    <w:rsid w:val="00197230"/>
    <w:rsid w:val="001A0B89"/>
    <w:rsid w:val="001A1205"/>
    <w:rsid w:val="001A4459"/>
    <w:rsid w:val="001A7040"/>
    <w:rsid w:val="001B34E2"/>
    <w:rsid w:val="001B583F"/>
    <w:rsid w:val="001B76A2"/>
    <w:rsid w:val="001C07A4"/>
    <w:rsid w:val="001C0B1E"/>
    <w:rsid w:val="001C2AB2"/>
    <w:rsid w:val="001C3D77"/>
    <w:rsid w:val="001C5980"/>
    <w:rsid w:val="001C6BD0"/>
    <w:rsid w:val="001C70D7"/>
    <w:rsid w:val="001D043D"/>
    <w:rsid w:val="001D1C40"/>
    <w:rsid w:val="001D37C1"/>
    <w:rsid w:val="001D38A2"/>
    <w:rsid w:val="001D4A7C"/>
    <w:rsid w:val="001D67A8"/>
    <w:rsid w:val="001E1A06"/>
    <w:rsid w:val="001E1B39"/>
    <w:rsid w:val="001E1BEE"/>
    <w:rsid w:val="001E1D3F"/>
    <w:rsid w:val="001E6EF9"/>
    <w:rsid w:val="001E7CB5"/>
    <w:rsid w:val="001E7F96"/>
    <w:rsid w:val="001F1291"/>
    <w:rsid w:val="001F20DA"/>
    <w:rsid w:val="001F249B"/>
    <w:rsid w:val="001F5F90"/>
    <w:rsid w:val="001F6141"/>
    <w:rsid w:val="001F6C9F"/>
    <w:rsid w:val="001F7296"/>
    <w:rsid w:val="001F795E"/>
    <w:rsid w:val="002011E3"/>
    <w:rsid w:val="00201271"/>
    <w:rsid w:val="00203B84"/>
    <w:rsid w:val="0020494C"/>
    <w:rsid w:val="00204CF3"/>
    <w:rsid w:val="002056C5"/>
    <w:rsid w:val="00206338"/>
    <w:rsid w:val="00206891"/>
    <w:rsid w:val="00206D55"/>
    <w:rsid w:val="00207228"/>
    <w:rsid w:val="00213380"/>
    <w:rsid w:val="00214FCC"/>
    <w:rsid w:val="00216FAA"/>
    <w:rsid w:val="00217482"/>
    <w:rsid w:val="002204DC"/>
    <w:rsid w:val="002264E8"/>
    <w:rsid w:val="0022745C"/>
    <w:rsid w:val="00227B57"/>
    <w:rsid w:val="00227EAE"/>
    <w:rsid w:val="00230314"/>
    <w:rsid w:val="00230DBE"/>
    <w:rsid w:val="00232556"/>
    <w:rsid w:val="00234591"/>
    <w:rsid w:val="002347B4"/>
    <w:rsid w:val="00234A28"/>
    <w:rsid w:val="002354FE"/>
    <w:rsid w:val="002356AA"/>
    <w:rsid w:val="00235A47"/>
    <w:rsid w:val="00240EC7"/>
    <w:rsid w:val="00244123"/>
    <w:rsid w:val="0024575E"/>
    <w:rsid w:val="00245897"/>
    <w:rsid w:val="0024751E"/>
    <w:rsid w:val="002503CD"/>
    <w:rsid w:val="0025503A"/>
    <w:rsid w:val="00255CFB"/>
    <w:rsid w:val="0026016C"/>
    <w:rsid w:val="0026044C"/>
    <w:rsid w:val="002609FA"/>
    <w:rsid w:val="0026155D"/>
    <w:rsid w:val="00262B69"/>
    <w:rsid w:val="00262E2F"/>
    <w:rsid w:val="002631BE"/>
    <w:rsid w:val="0026403C"/>
    <w:rsid w:val="00265DE7"/>
    <w:rsid w:val="00266EF8"/>
    <w:rsid w:val="00271141"/>
    <w:rsid w:val="00271EC9"/>
    <w:rsid w:val="00273EFD"/>
    <w:rsid w:val="00274FCA"/>
    <w:rsid w:val="00275C84"/>
    <w:rsid w:val="00276BC4"/>
    <w:rsid w:val="0028092F"/>
    <w:rsid w:val="002827D6"/>
    <w:rsid w:val="00284D98"/>
    <w:rsid w:val="00285DCE"/>
    <w:rsid w:val="00290A88"/>
    <w:rsid w:val="0029214B"/>
    <w:rsid w:val="00293C57"/>
    <w:rsid w:val="0029477F"/>
    <w:rsid w:val="00296671"/>
    <w:rsid w:val="00297B01"/>
    <w:rsid w:val="00297E13"/>
    <w:rsid w:val="00297FB8"/>
    <w:rsid w:val="002A0B48"/>
    <w:rsid w:val="002A0E2D"/>
    <w:rsid w:val="002A3917"/>
    <w:rsid w:val="002A3A52"/>
    <w:rsid w:val="002A3C9E"/>
    <w:rsid w:val="002A7E82"/>
    <w:rsid w:val="002B0AB2"/>
    <w:rsid w:val="002B4FE8"/>
    <w:rsid w:val="002B517B"/>
    <w:rsid w:val="002C0E70"/>
    <w:rsid w:val="002C1BC6"/>
    <w:rsid w:val="002C5B1D"/>
    <w:rsid w:val="002C6EF4"/>
    <w:rsid w:val="002D1ADB"/>
    <w:rsid w:val="002D2CEA"/>
    <w:rsid w:val="002D3A71"/>
    <w:rsid w:val="002D5387"/>
    <w:rsid w:val="002D6FE4"/>
    <w:rsid w:val="002D729B"/>
    <w:rsid w:val="002D7E84"/>
    <w:rsid w:val="002E0174"/>
    <w:rsid w:val="002E3853"/>
    <w:rsid w:val="002E4F86"/>
    <w:rsid w:val="002E591C"/>
    <w:rsid w:val="002E5BC7"/>
    <w:rsid w:val="002E6021"/>
    <w:rsid w:val="002E62E0"/>
    <w:rsid w:val="002E6C32"/>
    <w:rsid w:val="002E707A"/>
    <w:rsid w:val="002F2B2A"/>
    <w:rsid w:val="002F318D"/>
    <w:rsid w:val="002F613B"/>
    <w:rsid w:val="002F6FCD"/>
    <w:rsid w:val="002F7086"/>
    <w:rsid w:val="002F7576"/>
    <w:rsid w:val="002F765A"/>
    <w:rsid w:val="0030303C"/>
    <w:rsid w:val="00303A41"/>
    <w:rsid w:val="00303A8B"/>
    <w:rsid w:val="00304A82"/>
    <w:rsid w:val="00305E81"/>
    <w:rsid w:val="00307052"/>
    <w:rsid w:val="003070E2"/>
    <w:rsid w:val="00310391"/>
    <w:rsid w:val="00311D45"/>
    <w:rsid w:val="0031206E"/>
    <w:rsid w:val="00314F18"/>
    <w:rsid w:val="0031598E"/>
    <w:rsid w:val="003160CF"/>
    <w:rsid w:val="00316CBE"/>
    <w:rsid w:val="00317475"/>
    <w:rsid w:val="0031763D"/>
    <w:rsid w:val="00317A54"/>
    <w:rsid w:val="00321340"/>
    <w:rsid w:val="003224D6"/>
    <w:rsid w:val="00324D9C"/>
    <w:rsid w:val="00326DD8"/>
    <w:rsid w:val="003275F1"/>
    <w:rsid w:val="00327A46"/>
    <w:rsid w:val="00330148"/>
    <w:rsid w:val="003304B5"/>
    <w:rsid w:val="0033435A"/>
    <w:rsid w:val="00334554"/>
    <w:rsid w:val="00334DEF"/>
    <w:rsid w:val="0033644C"/>
    <w:rsid w:val="0034095F"/>
    <w:rsid w:val="003435AF"/>
    <w:rsid w:val="00344487"/>
    <w:rsid w:val="0034619F"/>
    <w:rsid w:val="003469F0"/>
    <w:rsid w:val="003501B9"/>
    <w:rsid w:val="0035160E"/>
    <w:rsid w:val="00352394"/>
    <w:rsid w:val="003529C7"/>
    <w:rsid w:val="003533F0"/>
    <w:rsid w:val="003543E4"/>
    <w:rsid w:val="00354A78"/>
    <w:rsid w:val="00356817"/>
    <w:rsid w:val="0036038B"/>
    <w:rsid w:val="00360830"/>
    <w:rsid w:val="00362786"/>
    <w:rsid w:val="0036419D"/>
    <w:rsid w:val="0036422B"/>
    <w:rsid w:val="0036566C"/>
    <w:rsid w:val="00370B24"/>
    <w:rsid w:val="00370B56"/>
    <w:rsid w:val="00370EC4"/>
    <w:rsid w:val="00371807"/>
    <w:rsid w:val="00371B8D"/>
    <w:rsid w:val="003745D2"/>
    <w:rsid w:val="0037521E"/>
    <w:rsid w:val="0037585B"/>
    <w:rsid w:val="003762CA"/>
    <w:rsid w:val="00376D05"/>
    <w:rsid w:val="0037781A"/>
    <w:rsid w:val="00377838"/>
    <w:rsid w:val="00380A7D"/>
    <w:rsid w:val="00381016"/>
    <w:rsid w:val="003826F4"/>
    <w:rsid w:val="0038549C"/>
    <w:rsid w:val="00386472"/>
    <w:rsid w:val="00386765"/>
    <w:rsid w:val="00387C66"/>
    <w:rsid w:val="00390A0F"/>
    <w:rsid w:val="00391B79"/>
    <w:rsid w:val="00392A03"/>
    <w:rsid w:val="003932E6"/>
    <w:rsid w:val="00393D5A"/>
    <w:rsid w:val="0039606A"/>
    <w:rsid w:val="003967D9"/>
    <w:rsid w:val="00396B73"/>
    <w:rsid w:val="003A031E"/>
    <w:rsid w:val="003A1A78"/>
    <w:rsid w:val="003A1C3C"/>
    <w:rsid w:val="003A29A7"/>
    <w:rsid w:val="003A2D70"/>
    <w:rsid w:val="003A3B33"/>
    <w:rsid w:val="003A53C1"/>
    <w:rsid w:val="003A6160"/>
    <w:rsid w:val="003A669F"/>
    <w:rsid w:val="003B1472"/>
    <w:rsid w:val="003B188A"/>
    <w:rsid w:val="003B2553"/>
    <w:rsid w:val="003B2FBB"/>
    <w:rsid w:val="003B3903"/>
    <w:rsid w:val="003B3A81"/>
    <w:rsid w:val="003B3E05"/>
    <w:rsid w:val="003B4120"/>
    <w:rsid w:val="003C0C05"/>
    <w:rsid w:val="003C339C"/>
    <w:rsid w:val="003C3652"/>
    <w:rsid w:val="003C3670"/>
    <w:rsid w:val="003C37D0"/>
    <w:rsid w:val="003C5362"/>
    <w:rsid w:val="003C5BE1"/>
    <w:rsid w:val="003C7905"/>
    <w:rsid w:val="003D0F68"/>
    <w:rsid w:val="003D273E"/>
    <w:rsid w:val="003D2759"/>
    <w:rsid w:val="003D29E1"/>
    <w:rsid w:val="003D2A84"/>
    <w:rsid w:val="003D30D2"/>
    <w:rsid w:val="003D3CF1"/>
    <w:rsid w:val="003D5103"/>
    <w:rsid w:val="003E0A2B"/>
    <w:rsid w:val="003E1F49"/>
    <w:rsid w:val="003E2171"/>
    <w:rsid w:val="003E294B"/>
    <w:rsid w:val="003E44AF"/>
    <w:rsid w:val="003F0139"/>
    <w:rsid w:val="003F3E56"/>
    <w:rsid w:val="003F4BDA"/>
    <w:rsid w:val="003F5616"/>
    <w:rsid w:val="003F5800"/>
    <w:rsid w:val="003F6647"/>
    <w:rsid w:val="003F7123"/>
    <w:rsid w:val="003F725B"/>
    <w:rsid w:val="003F7D07"/>
    <w:rsid w:val="0040029E"/>
    <w:rsid w:val="00400F8A"/>
    <w:rsid w:val="004039A6"/>
    <w:rsid w:val="00403D71"/>
    <w:rsid w:val="0040428B"/>
    <w:rsid w:val="00406CDE"/>
    <w:rsid w:val="00407FE5"/>
    <w:rsid w:val="0041155A"/>
    <w:rsid w:val="004118EF"/>
    <w:rsid w:val="00411B14"/>
    <w:rsid w:val="00412B47"/>
    <w:rsid w:val="00412C07"/>
    <w:rsid w:val="004138C1"/>
    <w:rsid w:val="00415756"/>
    <w:rsid w:val="00416D3F"/>
    <w:rsid w:val="00416EAF"/>
    <w:rsid w:val="004173B5"/>
    <w:rsid w:val="004227CE"/>
    <w:rsid w:val="00423872"/>
    <w:rsid w:val="004252B2"/>
    <w:rsid w:val="00425E05"/>
    <w:rsid w:val="0042660F"/>
    <w:rsid w:val="0043027A"/>
    <w:rsid w:val="004313F0"/>
    <w:rsid w:val="004314F2"/>
    <w:rsid w:val="004335B2"/>
    <w:rsid w:val="00434B4A"/>
    <w:rsid w:val="00435E05"/>
    <w:rsid w:val="0043624C"/>
    <w:rsid w:val="004403C9"/>
    <w:rsid w:val="0044089C"/>
    <w:rsid w:val="00440965"/>
    <w:rsid w:val="0044121C"/>
    <w:rsid w:val="00441B87"/>
    <w:rsid w:val="00442AD8"/>
    <w:rsid w:val="004443A7"/>
    <w:rsid w:val="00445173"/>
    <w:rsid w:val="00445CB8"/>
    <w:rsid w:val="00451728"/>
    <w:rsid w:val="00457BD9"/>
    <w:rsid w:val="00457E14"/>
    <w:rsid w:val="004605D9"/>
    <w:rsid w:val="004634B9"/>
    <w:rsid w:val="00463EFF"/>
    <w:rsid w:val="00464D09"/>
    <w:rsid w:val="004650A0"/>
    <w:rsid w:val="00465D22"/>
    <w:rsid w:val="0046738E"/>
    <w:rsid w:val="00470FAD"/>
    <w:rsid w:val="00471035"/>
    <w:rsid w:val="00471778"/>
    <w:rsid w:val="0047231D"/>
    <w:rsid w:val="0047386C"/>
    <w:rsid w:val="004740BA"/>
    <w:rsid w:val="004753FD"/>
    <w:rsid w:val="004762C1"/>
    <w:rsid w:val="004767A4"/>
    <w:rsid w:val="004774A8"/>
    <w:rsid w:val="00477642"/>
    <w:rsid w:val="00477EA3"/>
    <w:rsid w:val="004802EF"/>
    <w:rsid w:val="0048120E"/>
    <w:rsid w:val="0048281E"/>
    <w:rsid w:val="00485149"/>
    <w:rsid w:val="00486BFE"/>
    <w:rsid w:val="004875EB"/>
    <w:rsid w:val="004930E9"/>
    <w:rsid w:val="00493EE3"/>
    <w:rsid w:val="00496A84"/>
    <w:rsid w:val="004A00B5"/>
    <w:rsid w:val="004A013A"/>
    <w:rsid w:val="004A4BB2"/>
    <w:rsid w:val="004B1ABF"/>
    <w:rsid w:val="004B1C1E"/>
    <w:rsid w:val="004B1F9B"/>
    <w:rsid w:val="004B2A20"/>
    <w:rsid w:val="004B2DD7"/>
    <w:rsid w:val="004B349B"/>
    <w:rsid w:val="004B4154"/>
    <w:rsid w:val="004B436E"/>
    <w:rsid w:val="004B492C"/>
    <w:rsid w:val="004B5796"/>
    <w:rsid w:val="004B5A42"/>
    <w:rsid w:val="004C05B1"/>
    <w:rsid w:val="004C1629"/>
    <w:rsid w:val="004C2BFF"/>
    <w:rsid w:val="004C4925"/>
    <w:rsid w:val="004C4B33"/>
    <w:rsid w:val="004C4CA4"/>
    <w:rsid w:val="004C562A"/>
    <w:rsid w:val="004C60B7"/>
    <w:rsid w:val="004C7DB1"/>
    <w:rsid w:val="004D048A"/>
    <w:rsid w:val="004D0772"/>
    <w:rsid w:val="004D08E5"/>
    <w:rsid w:val="004D2104"/>
    <w:rsid w:val="004D75F3"/>
    <w:rsid w:val="004E1107"/>
    <w:rsid w:val="004E16F1"/>
    <w:rsid w:val="004E6056"/>
    <w:rsid w:val="004E7083"/>
    <w:rsid w:val="004F0351"/>
    <w:rsid w:val="004F1536"/>
    <w:rsid w:val="004F197F"/>
    <w:rsid w:val="004F1EFB"/>
    <w:rsid w:val="004F3D52"/>
    <w:rsid w:val="004F44D5"/>
    <w:rsid w:val="004F5633"/>
    <w:rsid w:val="004F56CA"/>
    <w:rsid w:val="004F58C8"/>
    <w:rsid w:val="004F63C3"/>
    <w:rsid w:val="004F712D"/>
    <w:rsid w:val="004F7506"/>
    <w:rsid w:val="00502175"/>
    <w:rsid w:val="00502438"/>
    <w:rsid w:val="00507AE1"/>
    <w:rsid w:val="0051132C"/>
    <w:rsid w:val="005115F1"/>
    <w:rsid w:val="00512884"/>
    <w:rsid w:val="00513F62"/>
    <w:rsid w:val="00514B3E"/>
    <w:rsid w:val="00515243"/>
    <w:rsid w:val="005162EB"/>
    <w:rsid w:val="00525684"/>
    <w:rsid w:val="00531B97"/>
    <w:rsid w:val="00532B14"/>
    <w:rsid w:val="0053538E"/>
    <w:rsid w:val="00535958"/>
    <w:rsid w:val="00541C69"/>
    <w:rsid w:val="005435F0"/>
    <w:rsid w:val="00546FD9"/>
    <w:rsid w:val="005476AD"/>
    <w:rsid w:val="005502ED"/>
    <w:rsid w:val="00554B5E"/>
    <w:rsid w:val="0055550D"/>
    <w:rsid w:val="0055553A"/>
    <w:rsid w:val="00557D41"/>
    <w:rsid w:val="00560337"/>
    <w:rsid w:val="005620C9"/>
    <w:rsid w:val="00562B0A"/>
    <w:rsid w:val="00564078"/>
    <w:rsid w:val="00566EBC"/>
    <w:rsid w:val="005700B1"/>
    <w:rsid w:val="00570437"/>
    <w:rsid w:val="00571D24"/>
    <w:rsid w:val="00573A24"/>
    <w:rsid w:val="005746FD"/>
    <w:rsid w:val="00575171"/>
    <w:rsid w:val="00576D79"/>
    <w:rsid w:val="00576F15"/>
    <w:rsid w:val="00577A0E"/>
    <w:rsid w:val="00580A6E"/>
    <w:rsid w:val="00580D68"/>
    <w:rsid w:val="00581E2B"/>
    <w:rsid w:val="00582156"/>
    <w:rsid w:val="00582A5F"/>
    <w:rsid w:val="00582E20"/>
    <w:rsid w:val="005840D4"/>
    <w:rsid w:val="00584309"/>
    <w:rsid w:val="00585A0D"/>
    <w:rsid w:val="00585BC0"/>
    <w:rsid w:val="00586238"/>
    <w:rsid w:val="00586EB9"/>
    <w:rsid w:val="00587224"/>
    <w:rsid w:val="00587336"/>
    <w:rsid w:val="00590736"/>
    <w:rsid w:val="00590A2B"/>
    <w:rsid w:val="00591CCF"/>
    <w:rsid w:val="005930EB"/>
    <w:rsid w:val="005944C8"/>
    <w:rsid w:val="00595CF9"/>
    <w:rsid w:val="005971AC"/>
    <w:rsid w:val="00597251"/>
    <w:rsid w:val="005A0925"/>
    <w:rsid w:val="005A11CA"/>
    <w:rsid w:val="005A191A"/>
    <w:rsid w:val="005A2461"/>
    <w:rsid w:val="005A2E81"/>
    <w:rsid w:val="005A3022"/>
    <w:rsid w:val="005A46A6"/>
    <w:rsid w:val="005A540A"/>
    <w:rsid w:val="005A6421"/>
    <w:rsid w:val="005A6601"/>
    <w:rsid w:val="005A671F"/>
    <w:rsid w:val="005A7FC9"/>
    <w:rsid w:val="005B028A"/>
    <w:rsid w:val="005B03E9"/>
    <w:rsid w:val="005B2C2A"/>
    <w:rsid w:val="005B37BC"/>
    <w:rsid w:val="005B6675"/>
    <w:rsid w:val="005B6E9E"/>
    <w:rsid w:val="005C00E3"/>
    <w:rsid w:val="005C058B"/>
    <w:rsid w:val="005C0AE0"/>
    <w:rsid w:val="005C1FDF"/>
    <w:rsid w:val="005C2F67"/>
    <w:rsid w:val="005C3800"/>
    <w:rsid w:val="005C3D40"/>
    <w:rsid w:val="005C4EB7"/>
    <w:rsid w:val="005C5115"/>
    <w:rsid w:val="005C54F4"/>
    <w:rsid w:val="005D0808"/>
    <w:rsid w:val="005D09EA"/>
    <w:rsid w:val="005D1672"/>
    <w:rsid w:val="005D170C"/>
    <w:rsid w:val="005D2B30"/>
    <w:rsid w:val="005D3E39"/>
    <w:rsid w:val="005D4DD4"/>
    <w:rsid w:val="005D5A23"/>
    <w:rsid w:val="005D6413"/>
    <w:rsid w:val="005D772D"/>
    <w:rsid w:val="005E0D50"/>
    <w:rsid w:val="005E27F6"/>
    <w:rsid w:val="005E28F1"/>
    <w:rsid w:val="005E350E"/>
    <w:rsid w:val="005E53AC"/>
    <w:rsid w:val="005E6616"/>
    <w:rsid w:val="005E6F31"/>
    <w:rsid w:val="005E71E6"/>
    <w:rsid w:val="005F0594"/>
    <w:rsid w:val="005F0688"/>
    <w:rsid w:val="005F0F64"/>
    <w:rsid w:val="005F11F9"/>
    <w:rsid w:val="005F121F"/>
    <w:rsid w:val="005F3D26"/>
    <w:rsid w:val="005F4D40"/>
    <w:rsid w:val="005F74A6"/>
    <w:rsid w:val="0060130C"/>
    <w:rsid w:val="00605D83"/>
    <w:rsid w:val="00606E93"/>
    <w:rsid w:val="006072EC"/>
    <w:rsid w:val="00611214"/>
    <w:rsid w:val="00612CA5"/>
    <w:rsid w:val="00612EB6"/>
    <w:rsid w:val="0061580A"/>
    <w:rsid w:val="00616DCD"/>
    <w:rsid w:val="00620AC6"/>
    <w:rsid w:val="0062310F"/>
    <w:rsid w:val="00623F2E"/>
    <w:rsid w:val="00624692"/>
    <w:rsid w:val="00624BF9"/>
    <w:rsid w:val="00625529"/>
    <w:rsid w:val="00626AE3"/>
    <w:rsid w:val="00626C62"/>
    <w:rsid w:val="00626FBC"/>
    <w:rsid w:val="0063151F"/>
    <w:rsid w:val="00633D04"/>
    <w:rsid w:val="0063448B"/>
    <w:rsid w:val="00635CBD"/>
    <w:rsid w:val="006372EE"/>
    <w:rsid w:val="0064021B"/>
    <w:rsid w:val="0064053D"/>
    <w:rsid w:val="006415F3"/>
    <w:rsid w:val="006426D5"/>
    <w:rsid w:val="00642D1D"/>
    <w:rsid w:val="006432DD"/>
    <w:rsid w:val="006434FB"/>
    <w:rsid w:val="00644145"/>
    <w:rsid w:val="00646E36"/>
    <w:rsid w:val="00650296"/>
    <w:rsid w:val="006509C4"/>
    <w:rsid w:val="00652A47"/>
    <w:rsid w:val="00653EDE"/>
    <w:rsid w:val="00654164"/>
    <w:rsid w:val="00656979"/>
    <w:rsid w:val="00657580"/>
    <w:rsid w:val="006608FA"/>
    <w:rsid w:val="00660F76"/>
    <w:rsid w:val="00663642"/>
    <w:rsid w:val="00663AC3"/>
    <w:rsid w:val="00664A94"/>
    <w:rsid w:val="00667A40"/>
    <w:rsid w:val="006716CA"/>
    <w:rsid w:val="00671BB8"/>
    <w:rsid w:val="00672079"/>
    <w:rsid w:val="00672380"/>
    <w:rsid w:val="00672A8A"/>
    <w:rsid w:val="00673020"/>
    <w:rsid w:val="00673C2A"/>
    <w:rsid w:val="0067490D"/>
    <w:rsid w:val="00674D5E"/>
    <w:rsid w:val="00675D10"/>
    <w:rsid w:val="00677A7A"/>
    <w:rsid w:val="00680075"/>
    <w:rsid w:val="006810E2"/>
    <w:rsid w:val="006815FE"/>
    <w:rsid w:val="006820AE"/>
    <w:rsid w:val="006823D6"/>
    <w:rsid w:val="0068323E"/>
    <w:rsid w:val="006843E7"/>
    <w:rsid w:val="0068453C"/>
    <w:rsid w:val="0068537B"/>
    <w:rsid w:val="006867C0"/>
    <w:rsid w:val="00687A82"/>
    <w:rsid w:val="00687CE7"/>
    <w:rsid w:val="006917F2"/>
    <w:rsid w:val="00692E20"/>
    <w:rsid w:val="00694C4D"/>
    <w:rsid w:val="00695E04"/>
    <w:rsid w:val="006966B8"/>
    <w:rsid w:val="006A0228"/>
    <w:rsid w:val="006A3AE1"/>
    <w:rsid w:val="006A4B0D"/>
    <w:rsid w:val="006A5823"/>
    <w:rsid w:val="006A73F9"/>
    <w:rsid w:val="006A76AA"/>
    <w:rsid w:val="006A7C01"/>
    <w:rsid w:val="006B0773"/>
    <w:rsid w:val="006B3286"/>
    <w:rsid w:val="006B3D40"/>
    <w:rsid w:val="006C1A51"/>
    <w:rsid w:val="006C1DF3"/>
    <w:rsid w:val="006C1F95"/>
    <w:rsid w:val="006C2455"/>
    <w:rsid w:val="006C25C7"/>
    <w:rsid w:val="006C3D08"/>
    <w:rsid w:val="006C42BD"/>
    <w:rsid w:val="006C771B"/>
    <w:rsid w:val="006D08C7"/>
    <w:rsid w:val="006D0FD7"/>
    <w:rsid w:val="006D3C6A"/>
    <w:rsid w:val="006D4107"/>
    <w:rsid w:val="006D6EB4"/>
    <w:rsid w:val="006D7DDC"/>
    <w:rsid w:val="006E0805"/>
    <w:rsid w:val="006E0823"/>
    <w:rsid w:val="006E0DBE"/>
    <w:rsid w:val="006E263B"/>
    <w:rsid w:val="006E33FF"/>
    <w:rsid w:val="006E576C"/>
    <w:rsid w:val="006E6775"/>
    <w:rsid w:val="006F0FF3"/>
    <w:rsid w:val="006F2932"/>
    <w:rsid w:val="006F2E33"/>
    <w:rsid w:val="006F3419"/>
    <w:rsid w:val="006F3C46"/>
    <w:rsid w:val="006F518E"/>
    <w:rsid w:val="006F66A7"/>
    <w:rsid w:val="0070092E"/>
    <w:rsid w:val="00701D50"/>
    <w:rsid w:val="00704937"/>
    <w:rsid w:val="00704BC3"/>
    <w:rsid w:val="0070712F"/>
    <w:rsid w:val="00707817"/>
    <w:rsid w:val="0071120D"/>
    <w:rsid w:val="00711599"/>
    <w:rsid w:val="0071384B"/>
    <w:rsid w:val="00714227"/>
    <w:rsid w:val="00715493"/>
    <w:rsid w:val="00717B6B"/>
    <w:rsid w:val="00722A41"/>
    <w:rsid w:val="007246C7"/>
    <w:rsid w:val="0072473D"/>
    <w:rsid w:val="007257B6"/>
    <w:rsid w:val="007261D6"/>
    <w:rsid w:val="00726538"/>
    <w:rsid w:val="007266AB"/>
    <w:rsid w:val="007306DD"/>
    <w:rsid w:val="00730C1D"/>
    <w:rsid w:val="00731B0C"/>
    <w:rsid w:val="00731BF1"/>
    <w:rsid w:val="0073377B"/>
    <w:rsid w:val="00736B1F"/>
    <w:rsid w:val="00740EEF"/>
    <w:rsid w:val="00741719"/>
    <w:rsid w:val="007423FD"/>
    <w:rsid w:val="00743698"/>
    <w:rsid w:val="007443DF"/>
    <w:rsid w:val="0074473C"/>
    <w:rsid w:val="007455B4"/>
    <w:rsid w:val="00747159"/>
    <w:rsid w:val="00752058"/>
    <w:rsid w:val="00755567"/>
    <w:rsid w:val="0075625A"/>
    <w:rsid w:val="007568DE"/>
    <w:rsid w:val="00757145"/>
    <w:rsid w:val="007609FE"/>
    <w:rsid w:val="00761CC0"/>
    <w:rsid w:val="00762637"/>
    <w:rsid w:val="00762AD4"/>
    <w:rsid w:val="00766E2F"/>
    <w:rsid w:val="007674FE"/>
    <w:rsid w:val="00767EF1"/>
    <w:rsid w:val="00770810"/>
    <w:rsid w:val="007719DC"/>
    <w:rsid w:val="00773D4D"/>
    <w:rsid w:val="00774505"/>
    <w:rsid w:val="0077555F"/>
    <w:rsid w:val="00776BF8"/>
    <w:rsid w:val="00776F0F"/>
    <w:rsid w:val="00777EC3"/>
    <w:rsid w:val="00780DD9"/>
    <w:rsid w:val="00782776"/>
    <w:rsid w:val="00782F1C"/>
    <w:rsid w:val="00782FDC"/>
    <w:rsid w:val="00783267"/>
    <w:rsid w:val="00783C5E"/>
    <w:rsid w:val="007852B7"/>
    <w:rsid w:val="007857DE"/>
    <w:rsid w:val="00785B97"/>
    <w:rsid w:val="00785D93"/>
    <w:rsid w:val="007862F8"/>
    <w:rsid w:val="00786AFD"/>
    <w:rsid w:val="007872B9"/>
    <w:rsid w:val="00787EFF"/>
    <w:rsid w:val="00790493"/>
    <w:rsid w:val="00790705"/>
    <w:rsid w:val="00790968"/>
    <w:rsid w:val="007928F5"/>
    <w:rsid w:val="00792E66"/>
    <w:rsid w:val="00793702"/>
    <w:rsid w:val="00794B79"/>
    <w:rsid w:val="007951FF"/>
    <w:rsid w:val="0079696D"/>
    <w:rsid w:val="00796A7F"/>
    <w:rsid w:val="00797280"/>
    <w:rsid w:val="0079762F"/>
    <w:rsid w:val="007A0D37"/>
    <w:rsid w:val="007A11D9"/>
    <w:rsid w:val="007A1845"/>
    <w:rsid w:val="007A24F5"/>
    <w:rsid w:val="007A2D11"/>
    <w:rsid w:val="007A51F6"/>
    <w:rsid w:val="007A5A93"/>
    <w:rsid w:val="007A6484"/>
    <w:rsid w:val="007A73E9"/>
    <w:rsid w:val="007B2D67"/>
    <w:rsid w:val="007B2F0E"/>
    <w:rsid w:val="007B60ED"/>
    <w:rsid w:val="007B6C67"/>
    <w:rsid w:val="007B6F5D"/>
    <w:rsid w:val="007B7E55"/>
    <w:rsid w:val="007C1B5C"/>
    <w:rsid w:val="007C2969"/>
    <w:rsid w:val="007C54B4"/>
    <w:rsid w:val="007C7436"/>
    <w:rsid w:val="007C79E4"/>
    <w:rsid w:val="007D0EDC"/>
    <w:rsid w:val="007D20B1"/>
    <w:rsid w:val="007D30DF"/>
    <w:rsid w:val="007D4B13"/>
    <w:rsid w:val="007D6DF7"/>
    <w:rsid w:val="007E2B87"/>
    <w:rsid w:val="007E5614"/>
    <w:rsid w:val="007E563B"/>
    <w:rsid w:val="007E60B3"/>
    <w:rsid w:val="007E6986"/>
    <w:rsid w:val="007E7EBC"/>
    <w:rsid w:val="007F26AD"/>
    <w:rsid w:val="007F2B3C"/>
    <w:rsid w:val="007F4EBC"/>
    <w:rsid w:val="007F65A0"/>
    <w:rsid w:val="008016E5"/>
    <w:rsid w:val="00802985"/>
    <w:rsid w:val="00804099"/>
    <w:rsid w:val="008068EA"/>
    <w:rsid w:val="008075FE"/>
    <w:rsid w:val="00812E24"/>
    <w:rsid w:val="00813711"/>
    <w:rsid w:val="008152C3"/>
    <w:rsid w:val="008166D8"/>
    <w:rsid w:val="0082098C"/>
    <w:rsid w:val="00820AF2"/>
    <w:rsid w:val="008210CE"/>
    <w:rsid w:val="00822AF7"/>
    <w:rsid w:val="00823840"/>
    <w:rsid w:val="00824493"/>
    <w:rsid w:val="008247D6"/>
    <w:rsid w:val="00826B49"/>
    <w:rsid w:val="00826F9A"/>
    <w:rsid w:val="00827222"/>
    <w:rsid w:val="00827725"/>
    <w:rsid w:val="00827E08"/>
    <w:rsid w:val="008304D3"/>
    <w:rsid w:val="00830B3D"/>
    <w:rsid w:val="008318A3"/>
    <w:rsid w:val="00831F76"/>
    <w:rsid w:val="0083386F"/>
    <w:rsid w:val="0083445A"/>
    <w:rsid w:val="00835CE5"/>
    <w:rsid w:val="00836DB6"/>
    <w:rsid w:val="00837263"/>
    <w:rsid w:val="00837A8B"/>
    <w:rsid w:val="008406E2"/>
    <w:rsid w:val="00841477"/>
    <w:rsid w:val="008420CC"/>
    <w:rsid w:val="00843CF1"/>
    <w:rsid w:val="00844EC0"/>
    <w:rsid w:val="00845451"/>
    <w:rsid w:val="00845EAA"/>
    <w:rsid w:val="008471A7"/>
    <w:rsid w:val="00850F07"/>
    <w:rsid w:val="00851BD9"/>
    <w:rsid w:val="00852009"/>
    <w:rsid w:val="0085209D"/>
    <w:rsid w:val="00852C57"/>
    <w:rsid w:val="0085361D"/>
    <w:rsid w:val="00855720"/>
    <w:rsid w:val="008559CD"/>
    <w:rsid w:val="00856914"/>
    <w:rsid w:val="0086070C"/>
    <w:rsid w:val="00860DE0"/>
    <w:rsid w:val="00864E3D"/>
    <w:rsid w:val="00865263"/>
    <w:rsid w:val="00865B84"/>
    <w:rsid w:val="00865E1F"/>
    <w:rsid w:val="008666F1"/>
    <w:rsid w:val="008672B1"/>
    <w:rsid w:val="008678C0"/>
    <w:rsid w:val="00870305"/>
    <w:rsid w:val="008706AB"/>
    <w:rsid w:val="00871DCE"/>
    <w:rsid w:val="00872DED"/>
    <w:rsid w:val="008730C8"/>
    <w:rsid w:val="00873D64"/>
    <w:rsid w:val="0088183A"/>
    <w:rsid w:val="00881EE0"/>
    <w:rsid w:val="00885652"/>
    <w:rsid w:val="00886820"/>
    <w:rsid w:val="00887303"/>
    <w:rsid w:val="00890473"/>
    <w:rsid w:val="00891A4B"/>
    <w:rsid w:val="008930DA"/>
    <w:rsid w:val="00896F45"/>
    <w:rsid w:val="0089726C"/>
    <w:rsid w:val="00897350"/>
    <w:rsid w:val="008A02B1"/>
    <w:rsid w:val="008A05B0"/>
    <w:rsid w:val="008A0AFC"/>
    <w:rsid w:val="008A1E57"/>
    <w:rsid w:val="008A231B"/>
    <w:rsid w:val="008A361A"/>
    <w:rsid w:val="008A3C79"/>
    <w:rsid w:val="008A3F8C"/>
    <w:rsid w:val="008A4C00"/>
    <w:rsid w:val="008A4EDD"/>
    <w:rsid w:val="008A4F8A"/>
    <w:rsid w:val="008A616E"/>
    <w:rsid w:val="008B03B8"/>
    <w:rsid w:val="008B06A9"/>
    <w:rsid w:val="008B1E07"/>
    <w:rsid w:val="008B227C"/>
    <w:rsid w:val="008B26F2"/>
    <w:rsid w:val="008B2EDC"/>
    <w:rsid w:val="008B406F"/>
    <w:rsid w:val="008B4589"/>
    <w:rsid w:val="008B4E14"/>
    <w:rsid w:val="008B645D"/>
    <w:rsid w:val="008B68DF"/>
    <w:rsid w:val="008C0F1D"/>
    <w:rsid w:val="008C1CFB"/>
    <w:rsid w:val="008C442D"/>
    <w:rsid w:val="008C5890"/>
    <w:rsid w:val="008C7C68"/>
    <w:rsid w:val="008D1D98"/>
    <w:rsid w:val="008D2F72"/>
    <w:rsid w:val="008D3739"/>
    <w:rsid w:val="008D46E4"/>
    <w:rsid w:val="008D53D3"/>
    <w:rsid w:val="008D6BE3"/>
    <w:rsid w:val="008D6F82"/>
    <w:rsid w:val="008D7710"/>
    <w:rsid w:val="008D7EFF"/>
    <w:rsid w:val="008D7FAD"/>
    <w:rsid w:val="008E1B6B"/>
    <w:rsid w:val="008E374F"/>
    <w:rsid w:val="008E592D"/>
    <w:rsid w:val="008E6C56"/>
    <w:rsid w:val="008F3823"/>
    <w:rsid w:val="008F3CD2"/>
    <w:rsid w:val="008F400E"/>
    <w:rsid w:val="008F50EB"/>
    <w:rsid w:val="008F560A"/>
    <w:rsid w:val="008F58C4"/>
    <w:rsid w:val="008F6982"/>
    <w:rsid w:val="00900EAB"/>
    <w:rsid w:val="00901F8A"/>
    <w:rsid w:val="009034D1"/>
    <w:rsid w:val="00907502"/>
    <w:rsid w:val="0091093D"/>
    <w:rsid w:val="00910C1F"/>
    <w:rsid w:val="00910F4F"/>
    <w:rsid w:val="00911903"/>
    <w:rsid w:val="0091511E"/>
    <w:rsid w:val="00915957"/>
    <w:rsid w:val="00917AEC"/>
    <w:rsid w:val="00917D48"/>
    <w:rsid w:val="009200D8"/>
    <w:rsid w:val="00920A9A"/>
    <w:rsid w:val="00920E0F"/>
    <w:rsid w:val="00924C6B"/>
    <w:rsid w:val="00925072"/>
    <w:rsid w:val="00925B18"/>
    <w:rsid w:val="0092789B"/>
    <w:rsid w:val="00930037"/>
    <w:rsid w:val="00931B51"/>
    <w:rsid w:val="00932449"/>
    <w:rsid w:val="00933612"/>
    <w:rsid w:val="0093414C"/>
    <w:rsid w:val="00936CD6"/>
    <w:rsid w:val="00936D02"/>
    <w:rsid w:val="009405C9"/>
    <w:rsid w:val="009414CA"/>
    <w:rsid w:val="00942A0B"/>
    <w:rsid w:val="00943789"/>
    <w:rsid w:val="00943DFD"/>
    <w:rsid w:val="00943E65"/>
    <w:rsid w:val="00944A2C"/>
    <w:rsid w:val="009451E3"/>
    <w:rsid w:val="009458A2"/>
    <w:rsid w:val="0094798A"/>
    <w:rsid w:val="009502B4"/>
    <w:rsid w:val="009532DF"/>
    <w:rsid w:val="00954B97"/>
    <w:rsid w:val="009559DA"/>
    <w:rsid w:val="00955E35"/>
    <w:rsid w:val="00956902"/>
    <w:rsid w:val="0096063C"/>
    <w:rsid w:val="0096174B"/>
    <w:rsid w:val="00962D1F"/>
    <w:rsid w:val="00963F6D"/>
    <w:rsid w:val="00964C13"/>
    <w:rsid w:val="009702B4"/>
    <w:rsid w:val="00971084"/>
    <w:rsid w:val="00971516"/>
    <w:rsid w:val="009736EF"/>
    <w:rsid w:val="00973F2A"/>
    <w:rsid w:val="009748D2"/>
    <w:rsid w:val="00974FCF"/>
    <w:rsid w:val="0097687E"/>
    <w:rsid w:val="00976C62"/>
    <w:rsid w:val="0098182D"/>
    <w:rsid w:val="009826A9"/>
    <w:rsid w:val="00983616"/>
    <w:rsid w:val="009841D6"/>
    <w:rsid w:val="0098421C"/>
    <w:rsid w:val="00984496"/>
    <w:rsid w:val="0098509E"/>
    <w:rsid w:val="009855E6"/>
    <w:rsid w:val="00985812"/>
    <w:rsid w:val="009858F4"/>
    <w:rsid w:val="00986960"/>
    <w:rsid w:val="00986CB6"/>
    <w:rsid w:val="00986D62"/>
    <w:rsid w:val="00987021"/>
    <w:rsid w:val="009904AB"/>
    <w:rsid w:val="009915E9"/>
    <w:rsid w:val="00993C16"/>
    <w:rsid w:val="00994672"/>
    <w:rsid w:val="00996203"/>
    <w:rsid w:val="00997D36"/>
    <w:rsid w:val="009A0FF9"/>
    <w:rsid w:val="009A1736"/>
    <w:rsid w:val="009A2A2A"/>
    <w:rsid w:val="009A2E60"/>
    <w:rsid w:val="009A303B"/>
    <w:rsid w:val="009A3B56"/>
    <w:rsid w:val="009A49DD"/>
    <w:rsid w:val="009A56FD"/>
    <w:rsid w:val="009A5CAA"/>
    <w:rsid w:val="009A63CE"/>
    <w:rsid w:val="009B013C"/>
    <w:rsid w:val="009B0C2E"/>
    <w:rsid w:val="009B0D53"/>
    <w:rsid w:val="009B14D7"/>
    <w:rsid w:val="009B33FA"/>
    <w:rsid w:val="009B4F55"/>
    <w:rsid w:val="009B5926"/>
    <w:rsid w:val="009B615C"/>
    <w:rsid w:val="009B7273"/>
    <w:rsid w:val="009B7BB3"/>
    <w:rsid w:val="009C58B6"/>
    <w:rsid w:val="009C6C27"/>
    <w:rsid w:val="009D36B3"/>
    <w:rsid w:val="009D4B51"/>
    <w:rsid w:val="009D7B27"/>
    <w:rsid w:val="009D7D12"/>
    <w:rsid w:val="009E10A4"/>
    <w:rsid w:val="009E1211"/>
    <w:rsid w:val="009E1996"/>
    <w:rsid w:val="009E3381"/>
    <w:rsid w:val="009E3C0C"/>
    <w:rsid w:val="009E4BBA"/>
    <w:rsid w:val="009E4E95"/>
    <w:rsid w:val="009E63F4"/>
    <w:rsid w:val="009E659D"/>
    <w:rsid w:val="009E729D"/>
    <w:rsid w:val="009E7A09"/>
    <w:rsid w:val="009F0AF8"/>
    <w:rsid w:val="009F3755"/>
    <w:rsid w:val="009F3936"/>
    <w:rsid w:val="009F3B37"/>
    <w:rsid w:val="009F69C2"/>
    <w:rsid w:val="009F7F7C"/>
    <w:rsid w:val="00A02ADC"/>
    <w:rsid w:val="00A02B3F"/>
    <w:rsid w:val="00A03BDA"/>
    <w:rsid w:val="00A043EE"/>
    <w:rsid w:val="00A04ECC"/>
    <w:rsid w:val="00A05C25"/>
    <w:rsid w:val="00A06FA6"/>
    <w:rsid w:val="00A1213B"/>
    <w:rsid w:val="00A14634"/>
    <w:rsid w:val="00A14CA9"/>
    <w:rsid w:val="00A15DE2"/>
    <w:rsid w:val="00A163F4"/>
    <w:rsid w:val="00A1651D"/>
    <w:rsid w:val="00A169BE"/>
    <w:rsid w:val="00A17559"/>
    <w:rsid w:val="00A2097F"/>
    <w:rsid w:val="00A2145B"/>
    <w:rsid w:val="00A21A09"/>
    <w:rsid w:val="00A22F05"/>
    <w:rsid w:val="00A23570"/>
    <w:rsid w:val="00A23B7E"/>
    <w:rsid w:val="00A25C47"/>
    <w:rsid w:val="00A27471"/>
    <w:rsid w:val="00A30606"/>
    <w:rsid w:val="00A30E48"/>
    <w:rsid w:val="00A31C79"/>
    <w:rsid w:val="00A33EE9"/>
    <w:rsid w:val="00A33F4A"/>
    <w:rsid w:val="00A35C2F"/>
    <w:rsid w:val="00A40B6B"/>
    <w:rsid w:val="00A41900"/>
    <w:rsid w:val="00A440B6"/>
    <w:rsid w:val="00A44D49"/>
    <w:rsid w:val="00A45BE9"/>
    <w:rsid w:val="00A4706F"/>
    <w:rsid w:val="00A505A8"/>
    <w:rsid w:val="00A52D06"/>
    <w:rsid w:val="00A53A5F"/>
    <w:rsid w:val="00A54927"/>
    <w:rsid w:val="00A57B1D"/>
    <w:rsid w:val="00A61141"/>
    <w:rsid w:val="00A616DA"/>
    <w:rsid w:val="00A61740"/>
    <w:rsid w:val="00A626E0"/>
    <w:rsid w:val="00A6397D"/>
    <w:rsid w:val="00A63B8C"/>
    <w:rsid w:val="00A64550"/>
    <w:rsid w:val="00A66056"/>
    <w:rsid w:val="00A670F4"/>
    <w:rsid w:val="00A71A59"/>
    <w:rsid w:val="00A71EEF"/>
    <w:rsid w:val="00A73554"/>
    <w:rsid w:val="00A74DCA"/>
    <w:rsid w:val="00A7548F"/>
    <w:rsid w:val="00A75646"/>
    <w:rsid w:val="00A77D14"/>
    <w:rsid w:val="00A80284"/>
    <w:rsid w:val="00A80F5C"/>
    <w:rsid w:val="00A82000"/>
    <w:rsid w:val="00A82825"/>
    <w:rsid w:val="00A83D7D"/>
    <w:rsid w:val="00A85156"/>
    <w:rsid w:val="00A854E3"/>
    <w:rsid w:val="00A85A22"/>
    <w:rsid w:val="00A85AC0"/>
    <w:rsid w:val="00A87819"/>
    <w:rsid w:val="00A90977"/>
    <w:rsid w:val="00A94EFC"/>
    <w:rsid w:val="00A9671D"/>
    <w:rsid w:val="00A968CC"/>
    <w:rsid w:val="00A971F8"/>
    <w:rsid w:val="00A97FCD"/>
    <w:rsid w:val="00AA17DA"/>
    <w:rsid w:val="00AA1972"/>
    <w:rsid w:val="00AA218C"/>
    <w:rsid w:val="00AA287A"/>
    <w:rsid w:val="00AA510C"/>
    <w:rsid w:val="00AA6FB6"/>
    <w:rsid w:val="00AB0341"/>
    <w:rsid w:val="00AB15AE"/>
    <w:rsid w:val="00AB2A47"/>
    <w:rsid w:val="00AB3C97"/>
    <w:rsid w:val="00AB73C4"/>
    <w:rsid w:val="00AB7731"/>
    <w:rsid w:val="00AC4C22"/>
    <w:rsid w:val="00AC5C17"/>
    <w:rsid w:val="00AC7155"/>
    <w:rsid w:val="00AC7551"/>
    <w:rsid w:val="00AD0171"/>
    <w:rsid w:val="00AD1B5C"/>
    <w:rsid w:val="00AD2CFE"/>
    <w:rsid w:val="00AD325F"/>
    <w:rsid w:val="00AD5F15"/>
    <w:rsid w:val="00AD5FA4"/>
    <w:rsid w:val="00AD61AD"/>
    <w:rsid w:val="00AE10F3"/>
    <w:rsid w:val="00AE1C15"/>
    <w:rsid w:val="00AE55FC"/>
    <w:rsid w:val="00AE639F"/>
    <w:rsid w:val="00AF2055"/>
    <w:rsid w:val="00AF21E0"/>
    <w:rsid w:val="00AF2401"/>
    <w:rsid w:val="00AF2F7F"/>
    <w:rsid w:val="00AF4229"/>
    <w:rsid w:val="00AF4FEC"/>
    <w:rsid w:val="00AF52FE"/>
    <w:rsid w:val="00AF5697"/>
    <w:rsid w:val="00AF62CF"/>
    <w:rsid w:val="00B0230B"/>
    <w:rsid w:val="00B0317C"/>
    <w:rsid w:val="00B03880"/>
    <w:rsid w:val="00B040D1"/>
    <w:rsid w:val="00B064BE"/>
    <w:rsid w:val="00B066D1"/>
    <w:rsid w:val="00B14B5E"/>
    <w:rsid w:val="00B16A4B"/>
    <w:rsid w:val="00B16E6E"/>
    <w:rsid w:val="00B174A9"/>
    <w:rsid w:val="00B2212B"/>
    <w:rsid w:val="00B22A71"/>
    <w:rsid w:val="00B22B7B"/>
    <w:rsid w:val="00B242E6"/>
    <w:rsid w:val="00B24C28"/>
    <w:rsid w:val="00B25633"/>
    <w:rsid w:val="00B25993"/>
    <w:rsid w:val="00B2664A"/>
    <w:rsid w:val="00B26C3C"/>
    <w:rsid w:val="00B26E09"/>
    <w:rsid w:val="00B3033A"/>
    <w:rsid w:val="00B30E22"/>
    <w:rsid w:val="00B315AF"/>
    <w:rsid w:val="00B33B0E"/>
    <w:rsid w:val="00B348A3"/>
    <w:rsid w:val="00B34C10"/>
    <w:rsid w:val="00B36069"/>
    <w:rsid w:val="00B36607"/>
    <w:rsid w:val="00B37820"/>
    <w:rsid w:val="00B40149"/>
    <w:rsid w:val="00B402E1"/>
    <w:rsid w:val="00B41264"/>
    <w:rsid w:val="00B44412"/>
    <w:rsid w:val="00B44ED8"/>
    <w:rsid w:val="00B45674"/>
    <w:rsid w:val="00B50112"/>
    <w:rsid w:val="00B50430"/>
    <w:rsid w:val="00B5075B"/>
    <w:rsid w:val="00B513AB"/>
    <w:rsid w:val="00B513F8"/>
    <w:rsid w:val="00B540ED"/>
    <w:rsid w:val="00B546F3"/>
    <w:rsid w:val="00B547BF"/>
    <w:rsid w:val="00B5551D"/>
    <w:rsid w:val="00B61091"/>
    <w:rsid w:val="00B618B4"/>
    <w:rsid w:val="00B61D73"/>
    <w:rsid w:val="00B629FC"/>
    <w:rsid w:val="00B638F2"/>
    <w:rsid w:val="00B640D7"/>
    <w:rsid w:val="00B64B89"/>
    <w:rsid w:val="00B64BB3"/>
    <w:rsid w:val="00B64CE7"/>
    <w:rsid w:val="00B65A53"/>
    <w:rsid w:val="00B66D11"/>
    <w:rsid w:val="00B671A3"/>
    <w:rsid w:val="00B67CE1"/>
    <w:rsid w:val="00B71CBB"/>
    <w:rsid w:val="00B722AC"/>
    <w:rsid w:val="00B73640"/>
    <w:rsid w:val="00B73DB1"/>
    <w:rsid w:val="00B74242"/>
    <w:rsid w:val="00B75119"/>
    <w:rsid w:val="00B769EB"/>
    <w:rsid w:val="00B76DA0"/>
    <w:rsid w:val="00B77038"/>
    <w:rsid w:val="00B8044D"/>
    <w:rsid w:val="00B80CA3"/>
    <w:rsid w:val="00B820DF"/>
    <w:rsid w:val="00B821FC"/>
    <w:rsid w:val="00B85652"/>
    <w:rsid w:val="00B859B4"/>
    <w:rsid w:val="00B86C56"/>
    <w:rsid w:val="00B92710"/>
    <w:rsid w:val="00B92CC3"/>
    <w:rsid w:val="00B93361"/>
    <w:rsid w:val="00B934C8"/>
    <w:rsid w:val="00B95212"/>
    <w:rsid w:val="00B95588"/>
    <w:rsid w:val="00B964AA"/>
    <w:rsid w:val="00B96E16"/>
    <w:rsid w:val="00B970A9"/>
    <w:rsid w:val="00BA04FE"/>
    <w:rsid w:val="00BA323B"/>
    <w:rsid w:val="00BA3902"/>
    <w:rsid w:val="00BA3C0C"/>
    <w:rsid w:val="00BA4CC4"/>
    <w:rsid w:val="00BA4DF8"/>
    <w:rsid w:val="00BA58F4"/>
    <w:rsid w:val="00BB0F94"/>
    <w:rsid w:val="00BB172B"/>
    <w:rsid w:val="00BB2F75"/>
    <w:rsid w:val="00BB735B"/>
    <w:rsid w:val="00BC066E"/>
    <w:rsid w:val="00BC2E73"/>
    <w:rsid w:val="00BC3A74"/>
    <w:rsid w:val="00BC3C16"/>
    <w:rsid w:val="00BC4541"/>
    <w:rsid w:val="00BC4DB3"/>
    <w:rsid w:val="00BC6C28"/>
    <w:rsid w:val="00BC785C"/>
    <w:rsid w:val="00BC7A50"/>
    <w:rsid w:val="00BD010B"/>
    <w:rsid w:val="00BD14A9"/>
    <w:rsid w:val="00BD166B"/>
    <w:rsid w:val="00BD1C06"/>
    <w:rsid w:val="00BD2F8F"/>
    <w:rsid w:val="00BD2FB0"/>
    <w:rsid w:val="00BD436C"/>
    <w:rsid w:val="00BD44F2"/>
    <w:rsid w:val="00BD58C5"/>
    <w:rsid w:val="00BD6F83"/>
    <w:rsid w:val="00BE0786"/>
    <w:rsid w:val="00BE61A5"/>
    <w:rsid w:val="00BF032D"/>
    <w:rsid w:val="00BF0FCD"/>
    <w:rsid w:val="00BF1172"/>
    <w:rsid w:val="00BF1221"/>
    <w:rsid w:val="00BF163B"/>
    <w:rsid w:val="00BF366F"/>
    <w:rsid w:val="00BF4DD9"/>
    <w:rsid w:val="00BF60F9"/>
    <w:rsid w:val="00BF6634"/>
    <w:rsid w:val="00BF766A"/>
    <w:rsid w:val="00BF7E62"/>
    <w:rsid w:val="00C0145C"/>
    <w:rsid w:val="00C028E6"/>
    <w:rsid w:val="00C02915"/>
    <w:rsid w:val="00C03401"/>
    <w:rsid w:val="00C03C4B"/>
    <w:rsid w:val="00C0652E"/>
    <w:rsid w:val="00C06A4B"/>
    <w:rsid w:val="00C07DC5"/>
    <w:rsid w:val="00C07F1D"/>
    <w:rsid w:val="00C104DE"/>
    <w:rsid w:val="00C1054E"/>
    <w:rsid w:val="00C10D7D"/>
    <w:rsid w:val="00C1183B"/>
    <w:rsid w:val="00C15006"/>
    <w:rsid w:val="00C1529E"/>
    <w:rsid w:val="00C1749F"/>
    <w:rsid w:val="00C20417"/>
    <w:rsid w:val="00C215FA"/>
    <w:rsid w:val="00C23EEE"/>
    <w:rsid w:val="00C2536D"/>
    <w:rsid w:val="00C253DF"/>
    <w:rsid w:val="00C25867"/>
    <w:rsid w:val="00C258E0"/>
    <w:rsid w:val="00C308CE"/>
    <w:rsid w:val="00C315A3"/>
    <w:rsid w:val="00C316F0"/>
    <w:rsid w:val="00C31801"/>
    <w:rsid w:val="00C31A4F"/>
    <w:rsid w:val="00C31E95"/>
    <w:rsid w:val="00C32FA8"/>
    <w:rsid w:val="00C33C13"/>
    <w:rsid w:val="00C3458B"/>
    <w:rsid w:val="00C36AF7"/>
    <w:rsid w:val="00C371B2"/>
    <w:rsid w:val="00C401DC"/>
    <w:rsid w:val="00C406B6"/>
    <w:rsid w:val="00C41F7A"/>
    <w:rsid w:val="00C42967"/>
    <w:rsid w:val="00C42E62"/>
    <w:rsid w:val="00C44432"/>
    <w:rsid w:val="00C44EB9"/>
    <w:rsid w:val="00C45C12"/>
    <w:rsid w:val="00C46624"/>
    <w:rsid w:val="00C47B5A"/>
    <w:rsid w:val="00C5161C"/>
    <w:rsid w:val="00C526B3"/>
    <w:rsid w:val="00C5291C"/>
    <w:rsid w:val="00C561F0"/>
    <w:rsid w:val="00C575EB"/>
    <w:rsid w:val="00C611FF"/>
    <w:rsid w:val="00C61593"/>
    <w:rsid w:val="00C647D9"/>
    <w:rsid w:val="00C67253"/>
    <w:rsid w:val="00C676D7"/>
    <w:rsid w:val="00C7146A"/>
    <w:rsid w:val="00C72A2E"/>
    <w:rsid w:val="00C73A45"/>
    <w:rsid w:val="00C74B72"/>
    <w:rsid w:val="00C74DD8"/>
    <w:rsid w:val="00C77371"/>
    <w:rsid w:val="00C81449"/>
    <w:rsid w:val="00C81BF7"/>
    <w:rsid w:val="00C83706"/>
    <w:rsid w:val="00C84AD0"/>
    <w:rsid w:val="00C911C7"/>
    <w:rsid w:val="00C91242"/>
    <w:rsid w:val="00C91AC3"/>
    <w:rsid w:val="00C920A5"/>
    <w:rsid w:val="00C92258"/>
    <w:rsid w:val="00C92919"/>
    <w:rsid w:val="00C92CE8"/>
    <w:rsid w:val="00C932A0"/>
    <w:rsid w:val="00C9369A"/>
    <w:rsid w:val="00C96D98"/>
    <w:rsid w:val="00C97F86"/>
    <w:rsid w:val="00CA0503"/>
    <w:rsid w:val="00CA2266"/>
    <w:rsid w:val="00CA2C30"/>
    <w:rsid w:val="00CA304E"/>
    <w:rsid w:val="00CA4134"/>
    <w:rsid w:val="00CA432E"/>
    <w:rsid w:val="00CA500E"/>
    <w:rsid w:val="00CA5157"/>
    <w:rsid w:val="00CA53AA"/>
    <w:rsid w:val="00CA6C79"/>
    <w:rsid w:val="00CA6E6B"/>
    <w:rsid w:val="00CB21C7"/>
    <w:rsid w:val="00CB3AD1"/>
    <w:rsid w:val="00CB589F"/>
    <w:rsid w:val="00CB6300"/>
    <w:rsid w:val="00CB684D"/>
    <w:rsid w:val="00CB68CC"/>
    <w:rsid w:val="00CB75E7"/>
    <w:rsid w:val="00CC00EF"/>
    <w:rsid w:val="00CC0136"/>
    <w:rsid w:val="00CC1CE3"/>
    <w:rsid w:val="00CC1F71"/>
    <w:rsid w:val="00CC3072"/>
    <w:rsid w:val="00CC333F"/>
    <w:rsid w:val="00CC44D8"/>
    <w:rsid w:val="00CC46D5"/>
    <w:rsid w:val="00CC4C42"/>
    <w:rsid w:val="00CC5058"/>
    <w:rsid w:val="00CC6867"/>
    <w:rsid w:val="00CD0A65"/>
    <w:rsid w:val="00CD2C89"/>
    <w:rsid w:val="00CD2F8E"/>
    <w:rsid w:val="00CD3403"/>
    <w:rsid w:val="00CD3F54"/>
    <w:rsid w:val="00CD400C"/>
    <w:rsid w:val="00CD6CCE"/>
    <w:rsid w:val="00CD7B4C"/>
    <w:rsid w:val="00CE0763"/>
    <w:rsid w:val="00CE0A6B"/>
    <w:rsid w:val="00CE2A65"/>
    <w:rsid w:val="00CE30DF"/>
    <w:rsid w:val="00CE3836"/>
    <w:rsid w:val="00CE3CC1"/>
    <w:rsid w:val="00CE4582"/>
    <w:rsid w:val="00CE53D1"/>
    <w:rsid w:val="00CE6668"/>
    <w:rsid w:val="00CF1146"/>
    <w:rsid w:val="00CF1BDD"/>
    <w:rsid w:val="00CF3D9D"/>
    <w:rsid w:val="00CF3DE1"/>
    <w:rsid w:val="00CF47E0"/>
    <w:rsid w:val="00CF541D"/>
    <w:rsid w:val="00CF5773"/>
    <w:rsid w:val="00D004F9"/>
    <w:rsid w:val="00D005AB"/>
    <w:rsid w:val="00D07F79"/>
    <w:rsid w:val="00D10E51"/>
    <w:rsid w:val="00D112E4"/>
    <w:rsid w:val="00D11D8A"/>
    <w:rsid w:val="00D13361"/>
    <w:rsid w:val="00D20B43"/>
    <w:rsid w:val="00D21433"/>
    <w:rsid w:val="00D220A6"/>
    <w:rsid w:val="00D2380A"/>
    <w:rsid w:val="00D23C92"/>
    <w:rsid w:val="00D2468F"/>
    <w:rsid w:val="00D24DC7"/>
    <w:rsid w:val="00D2551D"/>
    <w:rsid w:val="00D26927"/>
    <w:rsid w:val="00D26C5B"/>
    <w:rsid w:val="00D26FFB"/>
    <w:rsid w:val="00D33945"/>
    <w:rsid w:val="00D349D8"/>
    <w:rsid w:val="00D35574"/>
    <w:rsid w:val="00D36FBF"/>
    <w:rsid w:val="00D37571"/>
    <w:rsid w:val="00D407BF"/>
    <w:rsid w:val="00D4137E"/>
    <w:rsid w:val="00D420E1"/>
    <w:rsid w:val="00D44554"/>
    <w:rsid w:val="00D4466E"/>
    <w:rsid w:val="00D45387"/>
    <w:rsid w:val="00D45C42"/>
    <w:rsid w:val="00D4639A"/>
    <w:rsid w:val="00D50A03"/>
    <w:rsid w:val="00D5160D"/>
    <w:rsid w:val="00D5500B"/>
    <w:rsid w:val="00D55E19"/>
    <w:rsid w:val="00D568A4"/>
    <w:rsid w:val="00D57796"/>
    <w:rsid w:val="00D57E0D"/>
    <w:rsid w:val="00D60A45"/>
    <w:rsid w:val="00D60D8C"/>
    <w:rsid w:val="00D6103D"/>
    <w:rsid w:val="00D61E82"/>
    <w:rsid w:val="00D61F19"/>
    <w:rsid w:val="00D64CCC"/>
    <w:rsid w:val="00D654C6"/>
    <w:rsid w:val="00D66AD8"/>
    <w:rsid w:val="00D71051"/>
    <w:rsid w:val="00D7184C"/>
    <w:rsid w:val="00D725FA"/>
    <w:rsid w:val="00D73BE7"/>
    <w:rsid w:val="00D73E34"/>
    <w:rsid w:val="00D75248"/>
    <w:rsid w:val="00D75631"/>
    <w:rsid w:val="00D75972"/>
    <w:rsid w:val="00D7744E"/>
    <w:rsid w:val="00D77C79"/>
    <w:rsid w:val="00D80D38"/>
    <w:rsid w:val="00D82286"/>
    <w:rsid w:val="00D85A96"/>
    <w:rsid w:val="00D866F2"/>
    <w:rsid w:val="00D8748E"/>
    <w:rsid w:val="00D91B7F"/>
    <w:rsid w:val="00D9313A"/>
    <w:rsid w:val="00D944F8"/>
    <w:rsid w:val="00D95746"/>
    <w:rsid w:val="00D96EF3"/>
    <w:rsid w:val="00D976B7"/>
    <w:rsid w:val="00DA0DA3"/>
    <w:rsid w:val="00DA0F7C"/>
    <w:rsid w:val="00DA0F88"/>
    <w:rsid w:val="00DA3934"/>
    <w:rsid w:val="00DA5E72"/>
    <w:rsid w:val="00DA678D"/>
    <w:rsid w:val="00DB0B26"/>
    <w:rsid w:val="00DB2DBB"/>
    <w:rsid w:val="00DB2EE1"/>
    <w:rsid w:val="00DB309C"/>
    <w:rsid w:val="00DB46A0"/>
    <w:rsid w:val="00DB4FA4"/>
    <w:rsid w:val="00DB6A90"/>
    <w:rsid w:val="00DB7347"/>
    <w:rsid w:val="00DB739B"/>
    <w:rsid w:val="00DC5133"/>
    <w:rsid w:val="00DC53BD"/>
    <w:rsid w:val="00DC58D3"/>
    <w:rsid w:val="00DC6B09"/>
    <w:rsid w:val="00DD2D98"/>
    <w:rsid w:val="00DD3A51"/>
    <w:rsid w:val="00DE034E"/>
    <w:rsid w:val="00DE073F"/>
    <w:rsid w:val="00DE07DC"/>
    <w:rsid w:val="00DE11DE"/>
    <w:rsid w:val="00DE2B9D"/>
    <w:rsid w:val="00DE318D"/>
    <w:rsid w:val="00DE42AD"/>
    <w:rsid w:val="00DE6A12"/>
    <w:rsid w:val="00DE7772"/>
    <w:rsid w:val="00DF0525"/>
    <w:rsid w:val="00DF06B4"/>
    <w:rsid w:val="00DF1885"/>
    <w:rsid w:val="00DF1DD8"/>
    <w:rsid w:val="00DF2797"/>
    <w:rsid w:val="00DF2A58"/>
    <w:rsid w:val="00DF3FD1"/>
    <w:rsid w:val="00DF45DD"/>
    <w:rsid w:val="00DF4B75"/>
    <w:rsid w:val="00DF4F2E"/>
    <w:rsid w:val="00DF64BA"/>
    <w:rsid w:val="00E01490"/>
    <w:rsid w:val="00E03121"/>
    <w:rsid w:val="00E03399"/>
    <w:rsid w:val="00E054CF"/>
    <w:rsid w:val="00E05B55"/>
    <w:rsid w:val="00E05E7B"/>
    <w:rsid w:val="00E070A6"/>
    <w:rsid w:val="00E079BA"/>
    <w:rsid w:val="00E10298"/>
    <w:rsid w:val="00E120FB"/>
    <w:rsid w:val="00E12B27"/>
    <w:rsid w:val="00E14385"/>
    <w:rsid w:val="00E14DDA"/>
    <w:rsid w:val="00E154E2"/>
    <w:rsid w:val="00E16687"/>
    <w:rsid w:val="00E1776E"/>
    <w:rsid w:val="00E17B02"/>
    <w:rsid w:val="00E2053C"/>
    <w:rsid w:val="00E21E65"/>
    <w:rsid w:val="00E2229F"/>
    <w:rsid w:val="00E23477"/>
    <w:rsid w:val="00E24775"/>
    <w:rsid w:val="00E25BEC"/>
    <w:rsid w:val="00E2608B"/>
    <w:rsid w:val="00E267DC"/>
    <w:rsid w:val="00E277D3"/>
    <w:rsid w:val="00E27D78"/>
    <w:rsid w:val="00E3160A"/>
    <w:rsid w:val="00E31ACC"/>
    <w:rsid w:val="00E32233"/>
    <w:rsid w:val="00E32CFA"/>
    <w:rsid w:val="00E3443F"/>
    <w:rsid w:val="00E34726"/>
    <w:rsid w:val="00E35173"/>
    <w:rsid w:val="00E354FB"/>
    <w:rsid w:val="00E369FC"/>
    <w:rsid w:val="00E36B02"/>
    <w:rsid w:val="00E36B24"/>
    <w:rsid w:val="00E37CB6"/>
    <w:rsid w:val="00E41374"/>
    <w:rsid w:val="00E41864"/>
    <w:rsid w:val="00E41C58"/>
    <w:rsid w:val="00E4367F"/>
    <w:rsid w:val="00E43C2D"/>
    <w:rsid w:val="00E440C5"/>
    <w:rsid w:val="00E45594"/>
    <w:rsid w:val="00E462DE"/>
    <w:rsid w:val="00E46BC1"/>
    <w:rsid w:val="00E47655"/>
    <w:rsid w:val="00E50AB2"/>
    <w:rsid w:val="00E50BB4"/>
    <w:rsid w:val="00E51ECF"/>
    <w:rsid w:val="00E53BF8"/>
    <w:rsid w:val="00E545F7"/>
    <w:rsid w:val="00E55084"/>
    <w:rsid w:val="00E55D38"/>
    <w:rsid w:val="00E55D8F"/>
    <w:rsid w:val="00E562A1"/>
    <w:rsid w:val="00E57102"/>
    <w:rsid w:val="00E57ABA"/>
    <w:rsid w:val="00E61CAB"/>
    <w:rsid w:val="00E6269D"/>
    <w:rsid w:val="00E62B6F"/>
    <w:rsid w:val="00E634EC"/>
    <w:rsid w:val="00E638DF"/>
    <w:rsid w:val="00E66945"/>
    <w:rsid w:val="00E6704F"/>
    <w:rsid w:val="00E67867"/>
    <w:rsid w:val="00E7150C"/>
    <w:rsid w:val="00E7293B"/>
    <w:rsid w:val="00E72A22"/>
    <w:rsid w:val="00E737C6"/>
    <w:rsid w:val="00E746C4"/>
    <w:rsid w:val="00E77849"/>
    <w:rsid w:val="00E805E8"/>
    <w:rsid w:val="00E80C9A"/>
    <w:rsid w:val="00E8150D"/>
    <w:rsid w:val="00E81725"/>
    <w:rsid w:val="00E82081"/>
    <w:rsid w:val="00E84D71"/>
    <w:rsid w:val="00E850D1"/>
    <w:rsid w:val="00E854C7"/>
    <w:rsid w:val="00E85F75"/>
    <w:rsid w:val="00E86F32"/>
    <w:rsid w:val="00E87994"/>
    <w:rsid w:val="00E90549"/>
    <w:rsid w:val="00E926CA"/>
    <w:rsid w:val="00E93BD3"/>
    <w:rsid w:val="00E9492A"/>
    <w:rsid w:val="00E9512E"/>
    <w:rsid w:val="00E95B97"/>
    <w:rsid w:val="00E95BE9"/>
    <w:rsid w:val="00E96133"/>
    <w:rsid w:val="00E97FD3"/>
    <w:rsid w:val="00EA24DF"/>
    <w:rsid w:val="00EA2877"/>
    <w:rsid w:val="00EA3A74"/>
    <w:rsid w:val="00EA3DA5"/>
    <w:rsid w:val="00EA4044"/>
    <w:rsid w:val="00EA4D0C"/>
    <w:rsid w:val="00EA677E"/>
    <w:rsid w:val="00EB24B7"/>
    <w:rsid w:val="00EB2BF3"/>
    <w:rsid w:val="00EB376A"/>
    <w:rsid w:val="00EB3D29"/>
    <w:rsid w:val="00EB3E0B"/>
    <w:rsid w:val="00EB4A27"/>
    <w:rsid w:val="00EB5105"/>
    <w:rsid w:val="00EB6071"/>
    <w:rsid w:val="00EB6723"/>
    <w:rsid w:val="00EB678A"/>
    <w:rsid w:val="00EB69E7"/>
    <w:rsid w:val="00EC031E"/>
    <w:rsid w:val="00EC2C8E"/>
    <w:rsid w:val="00EC35FA"/>
    <w:rsid w:val="00EC5113"/>
    <w:rsid w:val="00EC7C86"/>
    <w:rsid w:val="00ED154F"/>
    <w:rsid w:val="00ED23D9"/>
    <w:rsid w:val="00ED2F93"/>
    <w:rsid w:val="00ED322C"/>
    <w:rsid w:val="00ED3FD8"/>
    <w:rsid w:val="00ED4589"/>
    <w:rsid w:val="00ED4AED"/>
    <w:rsid w:val="00ED4B30"/>
    <w:rsid w:val="00ED71AF"/>
    <w:rsid w:val="00ED72C2"/>
    <w:rsid w:val="00EE0DB8"/>
    <w:rsid w:val="00EE104D"/>
    <w:rsid w:val="00EE2753"/>
    <w:rsid w:val="00EE5D2C"/>
    <w:rsid w:val="00EE5DD7"/>
    <w:rsid w:val="00EE5F52"/>
    <w:rsid w:val="00EE664F"/>
    <w:rsid w:val="00EE6B33"/>
    <w:rsid w:val="00EE7D40"/>
    <w:rsid w:val="00EF01D6"/>
    <w:rsid w:val="00EF0BEE"/>
    <w:rsid w:val="00EF21DE"/>
    <w:rsid w:val="00EF26D0"/>
    <w:rsid w:val="00EF4907"/>
    <w:rsid w:val="00EF57A1"/>
    <w:rsid w:val="00EF58CD"/>
    <w:rsid w:val="00EF7E19"/>
    <w:rsid w:val="00F000C1"/>
    <w:rsid w:val="00F01375"/>
    <w:rsid w:val="00F01560"/>
    <w:rsid w:val="00F01E5F"/>
    <w:rsid w:val="00F027F3"/>
    <w:rsid w:val="00F02D24"/>
    <w:rsid w:val="00F03E5D"/>
    <w:rsid w:val="00F044EB"/>
    <w:rsid w:val="00F055A3"/>
    <w:rsid w:val="00F05CF7"/>
    <w:rsid w:val="00F064D1"/>
    <w:rsid w:val="00F11602"/>
    <w:rsid w:val="00F12CF6"/>
    <w:rsid w:val="00F14512"/>
    <w:rsid w:val="00F151F6"/>
    <w:rsid w:val="00F16E06"/>
    <w:rsid w:val="00F16F57"/>
    <w:rsid w:val="00F2068D"/>
    <w:rsid w:val="00F20A35"/>
    <w:rsid w:val="00F23031"/>
    <w:rsid w:val="00F2489B"/>
    <w:rsid w:val="00F309B5"/>
    <w:rsid w:val="00F30E61"/>
    <w:rsid w:val="00F3253E"/>
    <w:rsid w:val="00F3336C"/>
    <w:rsid w:val="00F35A24"/>
    <w:rsid w:val="00F36406"/>
    <w:rsid w:val="00F3741A"/>
    <w:rsid w:val="00F377B8"/>
    <w:rsid w:val="00F37F15"/>
    <w:rsid w:val="00F403AB"/>
    <w:rsid w:val="00F42756"/>
    <w:rsid w:val="00F431B8"/>
    <w:rsid w:val="00F4332F"/>
    <w:rsid w:val="00F43FFA"/>
    <w:rsid w:val="00F442F6"/>
    <w:rsid w:val="00F44E3B"/>
    <w:rsid w:val="00F4527D"/>
    <w:rsid w:val="00F46517"/>
    <w:rsid w:val="00F50F73"/>
    <w:rsid w:val="00F50F94"/>
    <w:rsid w:val="00F514E1"/>
    <w:rsid w:val="00F515AB"/>
    <w:rsid w:val="00F52851"/>
    <w:rsid w:val="00F52C3A"/>
    <w:rsid w:val="00F53427"/>
    <w:rsid w:val="00F538E1"/>
    <w:rsid w:val="00F56066"/>
    <w:rsid w:val="00F57753"/>
    <w:rsid w:val="00F57A3D"/>
    <w:rsid w:val="00F57B57"/>
    <w:rsid w:val="00F600D5"/>
    <w:rsid w:val="00F60314"/>
    <w:rsid w:val="00F6100E"/>
    <w:rsid w:val="00F61522"/>
    <w:rsid w:val="00F6382F"/>
    <w:rsid w:val="00F655C4"/>
    <w:rsid w:val="00F65C28"/>
    <w:rsid w:val="00F66857"/>
    <w:rsid w:val="00F67274"/>
    <w:rsid w:val="00F67A31"/>
    <w:rsid w:val="00F67EE6"/>
    <w:rsid w:val="00F71FEB"/>
    <w:rsid w:val="00F721A3"/>
    <w:rsid w:val="00F7252E"/>
    <w:rsid w:val="00F73702"/>
    <w:rsid w:val="00F7465F"/>
    <w:rsid w:val="00F75E31"/>
    <w:rsid w:val="00F76E9D"/>
    <w:rsid w:val="00F807C7"/>
    <w:rsid w:val="00F8416C"/>
    <w:rsid w:val="00F841DC"/>
    <w:rsid w:val="00F85808"/>
    <w:rsid w:val="00F86CE8"/>
    <w:rsid w:val="00F86F87"/>
    <w:rsid w:val="00F91B13"/>
    <w:rsid w:val="00F96243"/>
    <w:rsid w:val="00FA0A34"/>
    <w:rsid w:val="00FA21D0"/>
    <w:rsid w:val="00FA3A7B"/>
    <w:rsid w:val="00FA450F"/>
    <w:rsid w:val="00FA47E6"/>
    <w:rsid w:val="00FA5580"/>
    <w:rsid w:val="00FA57E1"/>
    <w:rsid w:val="00FA5A4D"/>
    <w:rsid w:val="00FA672C"/>
    <w:rsid w:val="00FA7023"/>
    <w:rsid w:val="00FA7785"/>
    <w:rsid w:val="00FB1ABC"/>
    <w:rsid w:val="00FB412C"/>
    <w:rsid w:val="00FB4C33"/>
    <w:rsid w:val="00FB663C"/>
    <w:rsid w:val="00FB7FA6"/>
    <w:rsid w:val="00FC2917"/>
    <w:rsid w:val="00FC2FA6"/>
    <w:rsid w:val="00FC3EA9"/>
    <w:rsid w:val="00FC66CB"/>
    <w:rsid w:val="00FC6EB0"/>
    <w:rsid w:val="00FD0210"/>
    <w:rsid w:val="00FD03E2"/>
    <w:rsid w:val="00FD380B"/>
    <w:rsid w:val="00FD4504"/>
    <w:rsid w:val="00FD476E"/>
    <w:rsid w:val="00FD4784"/>
    <w:rsid w:val="00FD57EF"/>
    <w:rsid w:val="00FD5F53"/>
    <w:rsid w:val="00FD772D"/>
    <w:rsid w:val="00FE0667"/>
    <w:rsid w:val="00FE1101"/>
    <w:rsid w:val="00FE1458"/>
    <w:rsid w:val="00FE199A"/>
    <w:rsid w:val="00FE2515"/>
    <w:rsid w:val="00FE274C"/>
    <w:rsid w:val="00FE2DB1"/>
    <w:rsid w:val="00FE33F0"/>
    <w:rsid w:val="00FE73BE"/>
    <w:rsid w:val="00FE7905"/>
    <w:rsid w:val="00FF0A60"/>
    <w:rsid w:val="00FF28A8"/>
    <w:rsid w:val="00FF342D"/>
    <w:rsid w:val="00FF4C9D"/>
    <w:rsid w:val="00FF7431"/>
    <w:rsid w:val="00FF7E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575C7C-9E98-424C-BDEA-B89C7BC0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D73"/>
    <w:pPr>
      <w:spacing w:line="288" w:lineRule="auto"/>
      <w:jc w:val="both"/>
    </w:pPr>
    <w:rPr>
      <w:sz w:val="22"/>
      <w:szCs w:val="22"/>
      <w:lang w:val="en-GB" w:eastAsia="en-GB" w:bidi="en-GB"/>
    </w:rPr>
  </w:style>
  <w:style w:type="paragraph" w:styleId="Naslov1">
    <w:name w:val="heading 1"/>
    <w:basedOn w:val="Normal"/>
    <w:next w:val="Normal"/>
    <w:link w:val="Naslov1Char"/>
    <w:qFormat/>
    <w:rsid w:val="00B61D73"/>
    <w:pPr>
      <w:numPr>
        <w:numId w:val="1"/>
      </w:numPr>
      <w:ind w:left="720" w:hanging="720"/>
      <w:outlineLvl w:val="0"/>
    </w:pPr>
    <w:rPr>
      <w:kern w:val="28"/>
    </w:rPr>
  </w:style>
  <w:style w:type="paragraph" w:styleId="Naslov2">
    <w:name w:val="heading 2"/>
    <w:basedOn w:val="Normal"/>
    <w:next w:val="Normal"/>
    <w:link w:val="Naslov2Char"/>
    <w:qFormat/>
    <w:rsid w:val="00B61D73"/>
    <w:pPr>
      <w:numPr>
        <w:ilvl w:val="1"/>
        <w:numId w:val="1"/>
      </w:numPr>
      <w:ind w:left="720" w:hanging="720"/>
      <w:outlineLvl w:val="1"/>
    </w:pPr>
  </w:style>
  <w:style w:type="paragraph" w:styleId="Naslov3">
    <w:name w:val="heading 3"/>
    <w:basedOn w:val="Normal"/>
    <w:next w:val="Normal"/>
    <w:qFormat/>
    <w:rsid w:val="00B61D73"/>
    <w:pPr>
      <w:numPr>
        <w:ilvl w:val="2"/>
        <w:numId w:val="1"/>
      </w:numPr>
      <w:ind w:left="720" w:hanging="720"/>
      <w:outlineLvl w:val="2"/>
    </w:pPr>
  </w:style>
  <w:style w:type="paragraph" w:styleId="Naslov4">
    <w:name w:val="heading 4"/>
    <w:basedOn w:val="Normal"/>
    <w:next w:val="Normal"/>
    <w:qFormat/>
    <w:rsid w:val="00B61D73"/>
    <w:pPr>
      <w:numPr>
        <w:ilvl w:val="3"/>
        <w:numId w:val="1"/>
      </w:numPr>
      <w:ind w:left="720" w:hanging="720"/>
      <w:outlineLvl w:val="3"/>
    </w:pPr>
  </w:style>
  <w:style w:type="paragraph" w:styleId="Naslov5">
    <w:name w:val="heading 5"/>
    <w:basedOn w:val="Normal"/>
    <w:next w:val="Normal"/>
    <w:qFormat/>
    <w:rsid w:val="00B61D73"/>
    <w:pPr>
      <w:numPr>
        <w:ilvl w:val="4"/>
        <w:numId w:val="1"/>
      </w:numPr>
      <w:ind w:left="720" w:hanging="720"/>
      <w:outlineLvl w:val="4"/>
    </w:pPr>
  </w:style>
  <w:style w:type="paragraph" w:styleId="Naslov6">
    <w:name w:val="heading 6"/>
    <w:basedOn w:val="Normal"/>
    <w:next w:val="Normal"/>
    <w:qFormat/>
    <w:rsid w:val="00B61D73"/>
    <w:pPr>
      <w:numPr>
        <w:ilvl w:val="5"/>
        <w:numId w:val="1"/>
      </w:numPr>
      <w:ind w:left="720" w:hanging="720"/>
      <w:outlineLvl w:val="5"/>
    </w:pPr>
  </w:style>
  <w:style w:type="paragraph" w:styleId="Naslov7">
    <w:name w:val="heading 7"/>
    <w:basedOn w:val="Normal"/>
    <w:next w:val="Normal"/>
    <w:qFormat/>
    <w:rsid w:val="00B61D73"/>
    <w:pPr>
      <w:numPr>
        <w:ilvl w:val="6"/>
        <w:numId w:val="1"/>
      </w:numPr>
      <w:ind w:left="720" w:hanging="720"/>
      <w:outlineLvl w:val="6"/>
    </w:pPr>
  </w:style>
  <w:style w:type="paragraph" w:styleId="Naslov8">
    <w:name w:val="heading 8"/>
    <w:basedOn w:val="Normal"/>
    <w:next w:val="Normal"/>
    <w:qFormat/>
    <w:rsid w:val="00B61D73"/>
    <w:pPr>
      <w:numPr>
        <w:ilvl w:val="7"/>
        <w:numId w:val="1"/>
      </w:numPr>
      <w:ind w:left="720" w:hanging="720"/>
      <w:outlineLvl w:val="7"/>
    </w:pPr>
  </w:style>
  <w:style w:type="paragraph" w:styleId="Naslov9">
    <w:name w:val="heading 9"/>
    <w:basedOn w:val="Normal"/>
    <w:next w:val="Normal"/>
    <w:qFormat/>
    <w:rsid w:val="00B61D73"/>
    <w:pPr>
      <w:numPr>
        <w:ilvl w:val="8"/>
        <w:numId w:val="1"/>
      </w:numPr>
      <w:ind w:left="720" w:hanging="720"/>
      <w:outlineLvl w:val="8"/>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qFormat/>
    <w:rsid w:val="00B61D73"/>
  </w:style>
  <w:style w:type="paragraph" w:styleId="Tekstfusnote">
    <w:name w:val="footnote text"/>
    <w:basedOn w:val="Normal"/>
    <w:link w:val="TekstfusnoteChar"/>
    <w:qFormat/>
    <w:rsid w:val="00B61D73"/>
    <w:pPr>
      <w:keepLines/>
      <w:spacing w:after="60" w:line="240" w:lineRule="auto"/>
      <w:ind w:left="720" w:hanging="720"/>
    </w:pPr>
    <w:rPr>
      <w:sz w:val="16"/>
    </w:rPr>
  </w:style>
  <w:style w:type="paragraph" w:styleId="Zaglavlje">
    <w:name w:val="header"/>
    <w:basedOn w:val="Normal"/>
    <w:qFormat/>
    <w:rsid w:val="00B61D73"/>
  </w:style>
  <w:style w:type="paragraph" w:customStyle="1" w:styleId="quotes">
    <w:name w:val="quotes"/>
    <w:basedOn w:val="Normal"/>
    <w:next w:val="Normal"/>
    <w:rsid w:val="00B61D73"/>
    <w:pPr>
      <w:ind w:left="720"/>
    </w:pPr>
    <w:rPr>
      <w:i/>
    </w:rPr>
  </w:style>
  <w:style w:type="character" w:styleId="Hiperveza">
    <w:name w:val="Hyperlink"/>
    <w:rPr>
      <w:color w:val="0000FF"/>
      <w:u w:val="single"/>
    </w:rPr>
  </w:style>
  <w:style w:type="character" w:styleId="Referencafusnote">
    <w:name w:val="footnote reference"/>
    <w:unhideWhenUsed/>
    <w:qFormat/>
    <w:rsid w:val="00B61D73"/>
    <w:rPr>
      <w:sz w:val="24"/>
      <w:vertAlign w:val="superscript"/>
    </w:rPr>
  </w:style>
  <w:style w:type="character" w:styleId="SlijeenaHiperveza">
    <w:name w:val="FollowedHyperlink"/>
    <w:rPr>
      <w:color w:val="800080"/>
      <w:u w:val="single"/>
    </w:rPr>
  </w:style>
  <w:style w:type="character" w:customStyle="1" w:styleId="Naslov2Char">
    <w:name w:val="Naslov 2 Char"/>
    <w:link w:val="Naslov2"/>
    <w:rsid w:val="003C5BE1"/>
    <w:rPr>
      <w:sz w:val="22"/>
      <w:szCs w:val="22"/>
      <w:lang w:val="en-GB" w:eastAsia="en-GB" w:bidi="en-GB"/>
    </w:rPr>
  </w:style>
  <w:style w:type="paragraph" w:customStyle="1" w:styleId="LOGO">
    <w:name w:val="LOGO"/>
    <w:basedOn w:val="Normal"/>
    <w:pPr>
      <w:jc w:val="center"/>
    </w:pPr>
    <w:rPr>
      <w:rFonts w:ascii="Arial" w:hAnsi="Arial"/>
      <w:b/>
      <w:i/>
      <w:sz w:val="20"/>
    </w:rPr>
  </w:style>
  <w:style w:type="character" w:customStyle="1" w:styleId="TekstfusnoteChar">
    <w:name w:val="Tekst fusnote Char"/>
    <w:link w:val="Tekstfusnote"/>
    <w:locked/>
    <w:rsid w:val="00F2068D"/>
    <w:rPr>
      <w:sz w:val="16"/>
      <w:szCs w:val="22"/>
      <w:lang w:val="en-GB" w:eastAsia="en-GB" w:bidi="en-GB"/>
    </w:rPr>
  </w:style>
  <w:style w:type="character" w:customStyle="1" w:styleId="Naslov1Char">
    <w:name w:val="Naslov 1 Char"/>
    <w:link w:val="Naslov1"/>
    <w:rsid w:val="004B4154"/>
    <w:rPr>
      <w:kern w:val="28"/>
      <w:sz w:val="22"/>
      <w:szCs w:val="22"/>
      <w:lang w:val="en-GB" w:eastAsia="en-GB" w:bidi="en-GB"/>
    </w:rPr>
  </w:style>
  <w:style w:type="paragraph" w:styleId="Tekstbalonia">
    <w:name w:val="Balloon Text"/>
    <w:basedOn w:val="Normal"/>
    <w:link w:val="TekstbaloniaChar"/>
    <w:rsid w:val="00B61D73"/>
    <w:pPr>
      <w:spacing w:line="240" w:lineRule="auto"/>
    </w:pPr>
    <w:rPr>
      <w:rFonts w:ascii="Tahoma" w:hAnsi="Tahoma" w:cs="Tahoma"/>
      <w:sz w:val="16"/>
      <w:szCs w:val="16"/>
    </w:rPr>
  </w:style>
  <w:style w:type="character" w:customStyle="1" w:styleId="TekstbaloniaChar">
    <w:name w:val="Tekst balončića Char"/>
    <w:link w:val="Tekstbalonia"/>
    <w:rsid w:val="00B61D73"/>
    <w:rPr>
      <w:rFonts w:ascii="Tahoma" w:hAnsi="Tahoma" w:cs="Tahoma"/>
      <w:sz w:val="16"/>
      <w:szCs w:val="16"/>
      <w:lang w:val="en-GB" w:eastAsia="en-GB" w:bidi="en-GB"/>
    </w:rPr>
  </w:style>
  <w:style w:type="character" w:customStyle="1" w:styleId="info">
    <w:name w:val="info"/>
    <w:rsid w:val="00962D1F"/>
  </w:style>
  <w:style w:type="character" w:customStyle="1" w:styleId="times1">
    <w:name w:val="times1"/>
    <w:basedOn w:val="Zadanifontodlomka"/>
    <w:rsid w:val="00423872"/>
    <w:rPr>
      <w:rFonts w:ascii="Times New Roman" w:hAnsi="Times New Roman" w:cs="Times New Roman" w:hint="default"/>
    </w:rPr>
  </w:style>
  <w:style w:type="character" w:styleId="Istaknuto">
    <w:name w:val="Emphasis"/>
    <w:basedOn w:val="Zadanifontodlomka"/>
    <w:qFormat/>
    <w:rsid w:val="00376D05"/>
    <w:rPr>
      <w:i/>
      <w:iCs/>
    </w:rPr>
  </w:style>
  <w:style w:type="character" w:styleId="Referencakomentara">
    <w:name w:val="annotation reference"/>
    <w:basedOn w:val="Zadanifontodlomka"/>
    <w:rsid w:val="0008272A"/>
    <w:rPr>
      <w:sz w:val="16"/>
      <w:szCs w:val="16"/>
    </w:rPr>
  </w:style>
  <w:style w:type="paragraph" w:styleId="Tekstkomentara">
    <w:name w:val="annotation text"/>
    <w:basedOn w:val="Normal"/>
    <w:link w:val="TekstkomentaraChar"/>
    <w:rsid w:val="0008272A"/>
    <w:pPr>
      <w:spacing w:line="240" w:lineRule="auto"/>
    </w:pPr>
    <w:rPr>
      <w:sz w:val="20"/>
      <w:szCs w:val="20"/>
    </w:rPr>
  </w:style>
  <w:style w:type="character" w:customStyle="1" w:styleId="TekstkomentaraChar">
    <w:name w:val="Tekst komentara Char"/>
    <w:basedOn w:val="Zadanifontodlomka"/>
    <w:link w:val="Tekstkomentara"/>
    <w:rsid w:val="0008272A"/>
    <w:rPr>
      <w:lang w:val="en-GB" w:eastAsia="en-GB" w:bidi="en-GB"/>
    </w:rPr>
  </w:style>
  <w:style w:type="paragraph" w:styleId="Predmetkomentara">
    <w:name w:val="annotation subject"/>
    <w:basedOn w:val="Tekstkomentara"/>
    <w:next w:val="Tekstkomentara"/>
    <w:link w:val="PredmetkomentaraChar"/>
    <w:rsid w:val="0008272A"/>
    <w:rPr>
      <w:b/>
      <w:bCs/>
    </w:rPr>
  </w:style>
  <w:style w:type="character" w:customStyle="1" w:styleId="PredmetkomentaraChar">
    <w:name w:val="Predmet komentara Char"/>
    <w:basedOn w:val="TekstkomentaraChar"/>
    <w:link w:val="Predmetkomentara"/>
    <w:rsid w:val="0008272A"/>
    <w:rPr>
      <w:b/>
      <w:bCs/>
      <w:lang w:val="en-GB" w:eastAsia="en-GB" w:bidi="en-GB"/>
    </w:rPr>
  </w:style>
  <w:style w:type="paragraph" w:styleId="Revizija">
    <w:name w:val="Revision"/>
    <w:hidden/>
    <w:uiPriority w:val="99"/>
    <w:semiHidden/>
    <w:rsid w:val="0008272A"/>
    <w:rPr>
      <w:sz w:val="22"/>
      <w:szCs w:val="22"/>
      <w:lang w:val="en-GB" w:eastAsia="en-GB" w:bidi="en-GB"/>
    </w:rPr>
  </w:style>
  <w:style w:type="character" w:customStyle="1" w:styleId="PodnojeChar">
    <w:name w:val="Podnožje Char"/>
    <w:basedOn w:val="Zadanifontodlomka"/>
    <w:link w:val="Podnoje"/>
    <w:locked/>
    <w:rsid w:val="002D7E84"/>
    <w:rPr>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336448">
      <w:bodyDiv w:val="1"/>
      <w:marLeft w:val="0"/>
      <w:marRight w:val="0"/>
      <w:marTop w:val="0"/>
      <w:marBottom w:val="0"/>
      <w:divBdr>
        <w:top w:val="none" w:sz="0" w:space="0" w:color="auto"/>
        <w:left w:val="none" w:sz="0" w:space="0" w:color="auto"/>
        <w:bottom w:val="none" w:sz="0" w:space="0" w:color="auto"/>
        <w:right w:val="none" w:sz="0" w:space="0" w:color="auto"/>
      </w:divBdr>
      <w:divsChild>
        <w:div w:id="989409624">
          <w:marLeft w:val="0"/>
          <w:marRight w:val="0"/>
          <w:marTop w:val="0"/>
          <w:marBottom w:val="0"/>
          <w:divBdr>
            <w:top w:val="none" w:sz="0" w:space="0" w:color="auto"/>
            <w:left w:val="none" w:sz="0" w:space="0" w:color="auto"/>
            <w:bottom w:val="none" w:sz="0" w:space="0" w:color="auto"/>
            <w:right w:val="none" w:sz="0" w:space="0" w:color="auto"/>
          </w:divBdr>
        </w:div>
        <w:div w:id="1086069653">
          <w:marLeft w:val="0"/>
          <w:marRight w:val="0"/>
          <w:marTop w:val="0"/>
          <w:marBottom w:val="0"/>
          <w:divBdr>
            <w:top w:val="none" w:sz="0" w:space="0" w:color="auto"/>
            <w:left w:val="none" w:sz="0" w:space="0" w:color="auto"/>
            <w:bottom w:val="none" w:sz="0" w:space="0" w:color="auto"/>
            <w:right w:val="none" w:sz="0" w:space="0" w:color="auto"/>
          </w:divBdr>
        </w:div>
        <w:div w:id="1283267824">
          <w:marLeft w:val="0"/>
          <w:marRight w:val="0"/>
          <w:marTop w:val="0"/>
          <w:marBottom w:val="0"/>
          <w:divBdr>
            <w:top w:val="none" w:sz="0" w:space="0" w:color="auto"/>
            <w:left w:val="none" w:sz="0" w:space="0" w:color="auto"/>
            <w:bottom w:val="none" w:sz="0" w:space="0" w:color="auto"/>
            <w:right w:val="none" w:sz="0" w:space="0" w:color="auto"/>
          </w:divBdr>
        </w:div>
      </w:divsChild>
    </w:div>
    <w:div w:id="531309980">
      <w:bodyDiv w:val="1"/>
      <w:marLeft w:val="0"/>
      <w:marRight w:val="0"/>
      <w:marTop w:val="0"/>
      <w:marBottom w:val="0"/>
      <w:divBdr>
        <w:top w:val="none" w:sz="0" w:space="0" w:color="auto"/>
        <w:left w:val="none" w:sz="0" w:space="0" w:color="auto"/>
        <w:bottom w:val="none" w:sz="0" w:space="0" w:color="auto"/>
        <w:right w:val="none" w:sz="0" w:space="0" w:color="auto"/>
      </w:divBdr>
    </w:div>
    <w:div w:id="132955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t@eesc.europa.e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ALL/?uri=CELEX:52012AE2282" TargetMode="External"/><Relationship Id="rId2" Type="http://schemas.openxmlformats.org/officeDocument/2006/relationships/hyperlink" Target="http://eur-lex.europa.eu/legal-content/EN/TXT/?uri=CELEX:52012IE1290&amp;qid=1474010738631" TargetMode="External"/><Relationship Id="rId1" Type="http://schemas.openxmlformats.org/officeDocument/2006/relationships/hyperlink" Target="http://eur-lex.europa.eu/legal-content/EN/ALL/?uri=CELEX:52012AE0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WorkflowChangePath"><![CDATA[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0177fa80-b84f-4d56-81c9-46e556a71e8a,12;]]></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1B93FB867AC2554F813B7C0908F5D179" ma:contentTypeVersion="4" ma:contentTypeDescription="Defines the documents for Document Manager V2" ma:contentTypeScope="" ma:versionID="a1353f4f677d6c1fc52a4c6d392219b7">
  <xsd:schema xmlns:xsd="http://www.w3.org/2001/XMLSchema" xmlns:xs="http://www.w3.org/2001/XMLSchema" xmlns:p="http://schemas.microsoft.com/office/2006/metadata/properties" xmlns:ns2="8835a8a4-5a07-4207-ac1e-223f88a8f7af" xmlns:ns3="http://schemas.microsoft.com/sharepoint/v3/fields" xmlns:ns4="da9d2a4e-39ed-405e-acbb-4f770495c695" targetNamespace="http://schemas.microsoft.com/office/2006/metadata/properties" ma:root="true" ma:fieldsID="55dda5b04b86dd51cade067c9c2770ed" ns2:_="" ns3:_="" ns4:_="">
    <xsd:import namespace="8835a8a4-5a07-4207-ac1e-223f88a8f7af"/>
    <xsd:import namespace="http://schemas.microsoft.com/sharepoint/v3/fields"/>
    <xsd:import namespace="da9d2a4e-39ed-405e-acbb-4f770495c69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a8a4-5a07-4207-ac1e-223f88a8f7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f3f0825d-ea3e-46c1-8cce-b7b67f4cb9e0}" ma:internalName="TaxCatchAll" ma:showField="CatchAllData"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3f0825d-ea3e-46c1-8cce-b7b67f4cb9e0}" ma:internalName="TaxCatchAllLabel" ma:readOnly="true" ma:showField="CatchAllDataLabel"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9d2a4e-39ed-405e-acbb-4f770495c695"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835a8a4-5a07-4207-ac1e-223f88a8f7af">3XPXQ63Y2AW3-6-6611</_dlc_DocId>
    <_dlc_DocIdUrl xmlns="8835a8a4-5a07-4207-ac1e-223f88a8f7af">
      <Url>http://dm/EESC/2016/_layouts/DocIdRedir.aspx?ID=3XPXQ63Y2AW3-6-6611</Url>
      <Description>3XPXQ63Y2AW3-6-6611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PA</TermName>
          <TermId xmlns="http://schemas.microsoft.com/office/infopath/2007/PartnerControls">ef6fd07e-7d84-45ad-8a75-9a9414a8759c</TermId>
        </TermInfo>
      </Terms>
    </DocumentType_0>
    <Procedure xmlns="8835a8a4-5a07-4207-ac1e-223f88a8f7a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835a8a4-5a07-4207-ac1e-223f88a8f7af">2016-09-21T12:00:00+00:00</ProductionDate>
    <DossierName_0 xmlns="http://schemas.microsoft.com/sharepoint/v3/fields">
      <Terms xmlns="http://schemas.microsoft.com/office/infopath/2007/PartnerControls">
        <TermInfo xmlns="http://schemas.microsoft.com/office/infopath/2007/PartnerControls">
          <TermName xmlns="http://schemas.microsoft.com/office/infopath/2007/PartnerControls">INT</TermName>
          <TermId xmlns="http://schemas.microsoft.com/office/infopath/2007/PartnerControls">e1edfecb-ed43-427b-bb02-d45fe6645386</TermId>
        </TermInfo>
      </Terms>
    </DossierName_0>
    <FicheYear xmlns="8835a8a4-5a07-4207-ac1e-223f88a8f7af">2016</FicheYear>
    <DocumentNumber xmlns="da9d2a4e-39ed-405e-acbb-4f770495c695">3274</DocumentNumber>
    <DocumentVersion xmlns="8835a8a4-5a07-4207-ac1e-223f88a8f7af">2</DocumentVersion>
    <DossierNumber xmlns="8835a8a4-5a07-4207-ac1e-223f88a8f7af">792</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835a8a4-5a07-4207-ac1e-223f88a8f7af">2016-10-04T12:00:00+00:00</MeetingDate>
    <TaxCatchAll xmlns="8835a8a4-5a07-4207-ac1e-223f88a8f7af">
      <Value>28</Value>
      <Value>40</Value>
      <Value>39</Value>
      <Value>38</Value>
      <Value>37</Value>
      <Value>36</Value>
      <Value>35</Value>
      <Value>34</Value>
      <Value>33</Value>
      <Value>22</Value>
      <Value>30</Value>
      <Value>29</Value>
      <Value>26</Value>
      <Value>73</Value>
      <Value>25</Value>
      <Value>24</Value>
      <Value>23</Value>
      <Value>69</Value>
      <Value>21</Value>
      <Value>19</Value>
      <Value>18</Value>
      <Value>17</Value>
      <Value>16</Value>
      <Value>15</Value>
      <Value>10</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8835a8a4-5a07-4207-ac1e-223f88a8f7af">SAMM</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835a8a4-5a07-4207-ac1e-223f88a8f7af">10389</FicheNumber>
    <DocumentYear xmlns="8835a8a4-5a07-4207-ac1e-223f88a8f7af">2016</DocumentYear>
    <DocumentPart xmlns="8835a8a4-5a07-4207-ac1e-223f88a8f7af">0</DocumentPart>
    <AdoptionDate xmlns="8835a8a4-5a07-4207-ac1e-223f88a8f7af" xsi:nil="true"/>
    <RequestingService xmlns="8835a8a4-5a07-4207-ac1e-223f88a8f7af">Marché unique, production, consommation</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INT</TermName>
          <TermId xmlns="http://schemas.microsoft.com/office/infopath/2007/PartnerControls">7a7bdbd3-7680-4ca3-a249-1ff8060217b0</TermId>
        </TermInfo>
      </Terms>
    </MeetingName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s>
    </AvailableTranslations_0>
    <MeetingNumber xmlns="da9d2a4e-39ed-405e-acbb-4f770495c695">170</MeetingNumb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BE44C-61F5-4B64-AEFF-7AD3B9F7CCC4}">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72F91BE1-BD4A-4860-A524-4E3B2C657803}">
  <ds:schemaRefs>
    <ds:schemaRef ds:uri="http://schemas.microsoft.com/sharepoint/v3/contenttype/forms"/>
  </ds:schemaRefs>
</ds:datastoreItem>
</file>

<file path=customXml/itemProps3.xml><?xml version="1.0" encoding="utf-8"?>
<ds:datastoreItem xmlns:ds="http://schemas.openxmlformats.org/officeDocument/2006/customXml" ds:itemID="{84198DBC-49DD-42DD-B6E8-E82116803110}">
  <ds:schemaRefs>
    <ds:schemaRef ds:uri="http://schemas.microsoft.com/sharepoint/events"/>
  </ds:schemaRefs>
</ds:datastoreItem>
</file>

<file path=customXml/itemProps4.xml><?xml version="1.0" encoding="utf-8"?>
<ds:datastoreItem xmlns:ds="http://schemas.openxmlformats.org/officeDocument/2006/customXml" ds:itemID="{6E414EC2-3252-4028-929E-0D141DFD9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5a8a4-5a07-4207-ac1e-223f88a8f7af"/>
    <ds:schemaRef ds:uri="http://schemas.microsoft.com/sharepoint/v3/fields"/>
    <ds:schemaRef ds:uri="da9d2a4e-39ed-405e-acbb-4f770495c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44964E-29A1-46A9-B89E-07AC56F83C2F}">
  <ds:schemaRefs>
    <ds:schemaRef ds:uri="http://schemas.microsoft.com/office/2006/metadata/properties"/>
    <ds:schemaRef ds:uri="http://schemas.microsoft.com/office/infopath/2007/PartnerControls"/>
    <ds:schemaRef ds:uri="8835a8a4-5a07-4207-ac1e-223f88a8f7af"/>
    <ds:schemaRef ds:uri="http://schemas.microsoft.com/sharepoint/v3/fields"/>
    <ds:schemaRef ds:uri="da9d2a4e-39ed-405e-acbb-4f770495c695"/>
  </ds:schemaRefs>
</ds:datastoreItem>
</file>

<file path=customXml/itemProps6.xml><?xml version="1.0" encoding="utf-8"?>
<ds:datastoreItem xmlns:ds="http://schemas.openxmlformats.org/officeDocument/2006/customXml" ds:itemID="{A5DB2E2C-88C0-4AF2-B624-9AB792A9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11</Pages>
  <Words>4265</Words>
  <Characters>24316</Characters>
  <Application>Microsoft Office Word</Application>
  <DocSecurity>0</DocSecurity>
  <Lines>202</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Mid-term evaluation of Horizon 2020</vt:lpstr>
      <vt:lpstr>Mid-term evaluation of Horizon 2020</vt:lpstr>
    </vt:vector>
  </TitlesOfParts>
  <Company>CESE-CdR</Company>
  <LinksUpToDate>false</LinksUpToDate>
  <CharactersWithSpaces>28524</CharactersWithSpaces>
  <SharedDoc>false</SharedDoc>
  <HLinks>
    <vt:vector size="30" baseType="variant">
      <vt:variant>
        <vt:i4>5898269</vt:i4>
      </vt:variant>
      <vt:variant>
        <vt:i4>9</vt:i4>
      </vt:variant>
      <vt:variant>
        <vt:i4>0</vt:i4>
      </vt:variant>
      <vt:variant>
        <vt:i4>5</vt:i4>
      </vt:variant>
      <vt:variant>
        <vt:lpwstr>http://eur-lex.europa.eu/LexUriServ/LexUriServ.do?uri=OJ:C:2009:318:0022:0028:EN:PDF</vt:lpwstr>
      </vt:variant>
      <vt:variant>
        <vt:lpwstr/>
      </vt:variant>
      <vt:variant>
        <vt:i4>917512</vt:i4>
      </vt:variant>
      <vt:variant>
        <vt:i4>6</vt:i4>
      </vt:variant>
      <vt:variant>
        <vt:i4>0</vt:i4>
      </vt:variant>
      <vt:variant>
        <vt:i4>5</vt:i4>
      </vt:variant>
      <vt:variant>
        <vt:lpwstr>http://eur-lex.europa.eu/legal-content/EN/TXT/?uri=OJ:C:2016:013:FULL</vt:lpwstr>
      </vt:variant>
      <vt:variant>
        <vt:lpwstr/>
      </vt:variant>
      <vt:variant>
        <vt:i4>6684747</vt:i4>
      </vt:variant>
      <vt:variant>
        <vt:i4>3</vt:i4>
      </vt:variant>
      <vt:variant>
        <vt:i4>0</vt:i4>
      </vt:variant>
      <vt:variant>
        <vt:i4>5</vt:i4>
      </vt:variant>
      <vt:variant>
        <vt:lpwstr>http://eur-lex.europa.eu/legal-content/EN/TXT/?uri=uriserv:OJ.C_.2014.170.01.0018.01.ENG</vt:lpwstr>
      </vt:variant>
      <vt:variant>
        <vt:lpwstr/>
      </vt:variant>
      <vt:variant>
        <vt:i4>6553716</vt:i4>
      </vt:variant>
      <vt:variant>
        <vt:i4>0</vt:i4>
      </vt:variant>
      <vt:variant>
        <vt:i4>0</vt:i4>
      </vt:variant>
      <vt:variant>
        <vt:i4>5</vt:i4>
      </vt:variant>
      <vt:variant>
        <vt:lpwstr>https://hbr.org/2011/01/the-big-idea-creating-shared-value/ar/1</vt:lpwstr>
      </vt:variant>
      <vt:variant>
        <vt:lpwstr/>
      </vt:variant>
      <vt:variant>
        <vt:i4>2228330</vt:i4>
      </vt:variant>
      <vt:variant>
        <vt:i4>0</vt:i4>
      </vt:variant>
      <vt:variant>
        <vt:i4>0</vt:i4>
      </vt:variant>
      <vt:variant>
        <vt:i4>5</vt:i4>
      </vt:variant>
      <vt:variant>
        <vt:lpwstr>http://www.eesc.europa.eu/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evaluation of Horizon 2020</dc:title>
  <dc:subject>Draft opinion</dc:subject>
  <dc:creator/>
  <cp:keywords>EESC-2016-03274-00-02-PA-TRA-EN</cp:keywords>
  <dc:description>Rapporteur: SAMM_x000d_
Original language: EN_x000d_
Date of document: 21/09/2016_x000d_
Date of meeting: 04/10/2016_x000d_
External documents: -_x000d_
Administrator responsible: Tetu Alice, telephone: + 2 546 8286_x000d_
_x000d_
Abstract:</dc:description>
  <cp:lastModifiedBy>Vilim Ribić</cp:lastModifiedBy>
  <cp:revision>8</cp:revision>
  <cp:lastPrinted>2016-08-24T11:19:00Z</cp:lastPrinted>
  <dcterms:created xsi:type="dcterms:W3CDTF">2016-09-21T12:59:00Z</dcterms:created>
  <dcterms:modified xsi:type="dcterms:W3CDTF">2016-10-05T19:57:00Z</dcterms:modified>
  <cp:category>INT/792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0x010100EA97B91038054C99906057A708A1480A001B93FB867AC2554F813B7C0908F5D179</vt:lpwstr>
  </property>
  <property fmtid="{D5CDD505-2E9C-101B-9397-08002B2CF9AE}" pid="3" name="display_urn:schemas-microsoft-com:office:office#Performatted_x0020_by">
    <vt:lpwstr>Mette Ausra</vt:lpwstr>
  </property>
  <property fmtid="{D5CDD505-2E9C-101B-9397-08002B2CF9AE}" pid="4" name="StyleCheckSum">
    <vt:lpwstr>45307_C20449_P207_L67</vt:lpwstr>
  </property>
  <property fmtid="{D5CDD505-2E9C-101B-9397-08002B2CF9AE}" pid="5" name="WorkflowChangePath">
    <vt:lpwstr>0177fa80-b84f-4d56-81c9-46e556a71e8a,12;0177fa80-b84f-4d56-81c9-46e556a71e8a,12;0177fa80-b84f-4d56-81c9-46e556a71e8a,12;0177fa80-b84f-4d56-81c9-46e556a71e8a,12;0177fa80-b84f-4d56-81c9-46e556a71e8a,12;0177fa80-b84f-4d56-81c9-46e556a71e8a,12;0177fa80-b84f-4</vt:lpwstr>
  </property>
  <property fmtid="{D5CDD505-2E9C-101B-9397-08002B2CF9AE}" pid="6" name="Pref_formatted">
    <vt:bool>true</vt:bool>
  </property>
  <property fmtid="{D5CDD505-2E9C-101B-9397-08002B2CF9AE}" pid="7" name="Pref_Date">
    <vt:lpwstr>21/09/2016, 21/09/2016, 21/09/2016, 20/09/2016, 20/09/2016, 26/08/2016, 26/08/2016, 17/06/2016, 17/06/2016</vt:lpwstr>
  </property>
  <property fmtid="{D5CDD505-2E9C-101B-9397-08002B2CF9AE}" pid="8" name="Pref_Time">
    <vt:lpwstr>14:59:46, 12:28:00, 12:21:20, 10:46:53, 06:58:50, 16:37:44, 16:11:00, 11:03:48, 10:24:37</vt:lpwstr>
  </property>
  <property fmtid="{D5CDD505-2E9C-101B-9397-08002B2CF9AE}" pid="9" name="Pref_User">
    <vt:lpwstr>enied, enied, hnic, enied, enied, enied, htoo, mreg, YMUR</vt:lpwstr>
  </property>
  <property fmtid="{D5CDD505-2E9C-101B-9397-08002B2CF9AE}" pid="10" name="Pref_FileName">
    <vt:lpwstr>EESC-2016-03274-00-02-PA-TRA-EN.docx, EESC-2016-03274-00-02-PA-TRA-EN-CRR.docx, EESC-2016-03274-00-02-PA-CRR-EN.docx, EESC-2016-03274-00-01-PA-ORI.docx, EESC-2016-03274-00-00-PA-ORI.docx, EESC-2016-03274-00-00-APA-TRA-EN-CRR.docx, EESC-2016-03274-00-00-AP</vt:lpwstr>
  </property>
  <property fmtid="{D5CDD505-2E9C-101B-9397-08002B2CF9AE}" pid="11" name="_dlc_DocIdItemGuid">
    <vt:lpwstr>1b4c39ad-7426-4d32-9264-2b21c8a55c24</vt:lpwstr>
  </property>
  <property fmtid="{D5CDD505-2E9C-101B-9397-08002B2CF9AE}" pid="12" name="DocumentType_0">
    <vt:lpwstr>PA|ef6fd07e-7d84-45ad-8a75-9a9414a8759c</vt:lpwstr>
  </property>
  <property fmtid="{D5CDD505-2E9C-101B-9397-08002B2CF9AE}" pid="13" name="AvailableTranslations">
    <vt:lpwstr>40;#FI|87606a43-d45f-42d6-b8c9-e1a3457db5b7;#21;#SL|98a412ae-eb01-49e9-ae3d-585a81724cfc;#38;#HR|2f555653-ed1a-4fe6-8362-9082d95989e5;#10;#EN|f2175f21-25d7-44a3-96da-d6a61b075e1b;#17;#NL|55c6556c-b4f4-441d-9acf-c498d4f838bd;#23;#EL|6d4f4d51-af9b-4650-94b4</vt:lpwstr>
  </property>
  <property fmtid="{D5CDD505-2E9C-101B-9397-08002B2CF9AE}" pid="14" name="DossierName_0">
    <vt:lpwstr>INT|e1edfecb-ed43-427b-bb02-d45fe6645386</vt:lpwstr>
  </property>
  <property fmtid="{D5CDD505-2E9C-101B-9397-08002B2CF9AE}" pid="15" name="DocumentSource_0">
    <vt:lpwstr>EESC|422833ec-8d7e-4e65-8e4e-8bed07ffb729</vt:lpwstr>
  </property>
  <property fmtid="{D5CDD505-2E9C-101B-9397-08002B2CF9AE}" pid="16" name="FicheYear">
    <vt:i4>2016</vt:i4>
  </property>
  <property fmtid="{D5CDD505-2E9C-101B-9397-08002B2CF9AE}" pid="17" name="DocumentNumber">
    <vt:i4>3274</vt:i4>
  </property>
  <property fmtid="{D5CDD505-2E9C-101B-9397-08002B2CF9AE}" pid="18" name="DocumentVersion">
    <vt:i4>2</vt:i4>
  </property>
  <property fmtid="{D5CDD505-2E9C-101B-9397-08002B2CF9AE}" pid="19" name="DossierNumber">
    <vt:i4>792</vt:i4>
  </property>
  <property fmtid="{D5CDD505-2E9C-101B-9397-08002B2CF9AE}" pid="20" name="DocumentStatus">
    <vt:lpwstr>2;#TRA|150d2a88-1431-44e6-a8ca-0bb753ab8672</vt:lpwstr>
  </property>
  <property fmtid="{D5CDD505-2E9C-101B-9397-08002B2CF9AE}" pid="21" name="DossierName">
    <vt:lpwstr>30;#INT|e1edfecb-ed43-427b-bb02-d45fe6645386</vt:lpwstr>
  </property>
  <property fmtid="{D5CDD505-2E9C-101B-9397-08002B2CF9AE}" pid="22" name="RequestingService">
    <vt:lpwstr>Marché unique, production, consommation</vt:lpwstr>
  </property>
  <property fmtid="{D5CDD505-2E9C-101B-9397-08002B2CF9AE}" pid="23" name="Confidentiality">
    <vt:lpwstr>5;#Unrestricted|826e22d7-d029-4ec0-a450-0c28ff673572</vt:lpwstr>
  </property>
  <property fmtid="{D5CDD505-2E9C-101B-9397-08002B2CF9AE}" pid="24" name="Confidentiality_0">
    <vt:lpwstr>Unrestricted|826e22d7-d029-4ec0-a450-0c28ff673572</vt:lpwstr>
  </property>
  <property fmtid="{D5CDD505-2E9C-101B-9397-08002B2CF9AE}" pid="25" name="MeetingName_0">
    <vt:lpwstr>INT|7a7bdbd3-7680-4ca3-a249-1ff8060217b0</vt:lpwstr>
  </property>
  <property fmtid="{D5CDD505-2E9C-101B-9397-08002B2CF9AE}" pid="26" name="OriginalLanguage">
    <vt:lpwstr>10;#EN|f2175f21-25d7-44a3-96da-d6a61b075e1b</vt:lpwstr>
  </property>
  <property fmtid="{D5CDD505-2E9C-101B-9397-08002B2CF9AE}" pid="27" name="MeetingName">
    <vt:lpwstr>69;#INT|7a7bdbd3-7680-4ca3-a249-1ff8060217b0</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MeetingDate">
    <vt:filetime>2016-10-04T12:00:00Z</vt:filetime>
  </property>
  <property fmtid="{D5CDD505-2E9C-101B-9397-08002B2CF9AE}" pid="31" name="TaxCatchAll">
    <vt:lpwstr>10;#EN|f2175f21-25d7-44a3-96da-d6a61b075e1b;#30;#INT|e1edfecb-ed43-427b-bb02-d45fe6645386;#6;#Final|ea5e6674-7b27-4bac-b091-73adbb394efe;#5;#Unrestricted|826e22d7-d029-4ec0-a450-0c28ff673572;#73;#PA|ef6fd07e-7d84-45ad-8a75-9a9414a8759c;#2;#TRA|150d2a88-14</vt:lpwstr>
  </property>
  <property fmtid="{D5CDD505-2E9C-101B-9397-08002B2CF9AE}" pid="32" name="AvailableTranslations_0">
    <vt:lpwstr>EN|f2175f21-25d7-44a3-96da-d6a61b075e1b</vt:lpwstr>
  </property>
  <property fmtid="{D5CDD505-2E9C-101B-9397-08002B2CF9AE}" pid="33" name="VersionStatus">
    <vt:lpwstr>6;#Final|ea5e6674-7b27-4bac-b091-73adbb394efe</vt:lpwstr>
  </property>
  <property fmtid="{D5CDD505-2E9C-101B-9397-08002B2CF9AE}" pid="34" name="Rapporteur">
    <vt:lpwstr>SAMM</vt:lpwstr>
  </property>
  <property fmtid="{D5CDD505-2E9C-101B-9397-08002B2CF9AE}" pid="35" name="VersionStatus_0">
    <vt:lpwstr>Final|ea5e6674-7b27-4bac-b091-73adbb394efe</vt:lpwstr>
  </property>
  <property fmtid="{D5CDD505-2E9C-101B-9397-08002B2CF9AE}" pid="36" name="FicheNumber">
    <vt:i4>10389</vt:i4>
  </property>
  <property fmtid="{D5CDD505-2E9C-101B-9397-08002B2CF9AE}" pid="37" name="DocumentYear">
    <vt:i4>2016</vt:i4>
  </property>
  <property fmtid="{D5CDD505-2E9C-101B-9397-08002B2CF9AE}" pid="38" name="DocumentSource">
    <vt:lpwstr>1;#EESC|422833ec-8d7e-4e65-8e4e-8bed07ffb729</vt:lpwstr>
  </property>
  <property fmtid="{D5CDD505-2E9C-101B-9397-08002B2CF9AE}" pid="39" name="DocumentType">
    <vt:lpwstr>73;#PA|ef6fd07e-7d84-45ad-8a75-9a9414a8759c</vt:lpwstr>
  </property>
  <property fmtid="{D5CDD505-2E9C-101B-9397-08002B2CF9AE}" pid="40" name="DocumentPart">
    <vt:i4>0</vt:i4>
  </property>
  <property fmtid="{D5CDD505-2E9C-101B-9397-08002B2CF9AE}" pid="41" name="DocumentLanguage">
    <vt:lpwstr>10;#EN|f2175f21-25d7-44a3-96da-d6a61b075e1b</vt:lpwstr>
  </property>
  <property fmtid="{D5CDD505-2E9C-101B-9397-08002B2CF9AE}" pid="42" name="MeetingNumber">
    <vt:i4>170</vt:i4>
  </property>
  <property fmtid="{D5CDD505-2E9C-101B-9397-08002B2CF9AE}" pid="43" name="DocumentLanguage_0">
    <vt:lpwstr>EN|f2175f21-25d7-44a3-96da-d6a61b075e1b</vt:lpwstr>
  </property>
  <property fmtid="{D5CDD505-2E9C-101B-9397-08002B2CF9AE}" pid="44" name="ProductionDate">
    <vt:filetime>2016-09-21T12:00:00Z</vt:filetime>
  </property>
</Properties>
</file>