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85" w:rsidRDefault="00B41585" w:rsidP="00821842">
      <w:pPr>
        <w:pStyle w:val="t-10-9-kurz-s"/>
        <w:spacing w:before="120" w:beforeAutospacing="0" w:after="120" w:afterAutospacing="0"/>
        <w:rPr>
          <w:color w:val="000000"/>
          <w:sz w:val="24"/>
          <w:szCs w:val="24"/>
        </w:rPr>
      </w:pPr>
    </w:p>
    <w:p w:rsidR="00B41585" w:rsidRPr="00B41585" w:rsidRDefault="00B41585" w:rsidP="00821842">
      <w:pPr>
        <w:pStyle w:val="t-10-9-kurz-s"/>
        <w:spacing w:before="120" w:beforeAutospacing="0" w:after="120" w:afterAutospacing="0"/>
        <w:rPr>
          <w:b/>
          <w:color w:val="000000"/>
          <w:sz w:val="24"/>
          <w:szCs w:val="24"/>
        </w:rPr>
      </w:pPr>
      <w:r w:rsidRPr="00B41585">
        <w:rPr>
          <w:b/>
          <w:color w:val="000000"/>
          <w:sz w:val="24"/>
          <w:szCs w:val="24"/>
        </w:rPr>
        <w:t xml:space="preserve">PRIJEDLOG </w:t>
      </w:r>
    </w:p>
    <w:p w:rsidR="00B41585" w:rsidRDefault="00B41585" w:rsidP="00B41585">
      <w:pPr>
        <w:pStyle w:val="t-10-9-kurz-s"/>
        <w:spacing w:before="120" w:beforeAutospacing="0" w:after="120" w:afterAutospacing="0"/>
        <w:rPr>
          <w:b/>
          <w:color w:val="000000"/>
          <w:sz w:val="24"/>
          <w:szCs w:val="24"/>
        </w:rPr>
      </w:pPr>
      <w:r w:rsidRPr="00B41585">
        <w:rPr>
          <w:b/>
          <w:color w:val="000000"/>
          <w:sz w:val="24"/>
          <w:szCs w:val="24"/>
        </w:rPr>
        <w:t xml:space="preserve">ČLANAKA NOVOG TEMELJNOG KOLEKTIVNOG UGOVORA ZA SLUŽBENIKE I NAMJEŠTENIKE U JAVNIM SLUŽBAMA </w:t>
      </w:r>
    </w:p>
    <w:p w:rsidR="00B41585" w:rsidRPr="00B41585" w:rsidRDefault="00B41585" w:rsidP="00B41585">
      <w:pPr>
        <w:pStyle w:val="t-10-9-kurz-s"/>
        <w:spacing w:before="120" w:beforeAutospacing="0" w:after="120" w:afterAutospacing="0"/>
        <w:rPr>
          <w:b/>
          <w:color w:val="000000"/>
          <w:sz w:val="24"/>
          <w:szCs w:val="24"/>
        </w:rPr>
      </w:pPr>
      <w:r w:rsidRPr="00B41585">
        <w:rPr>
          <w:b/>
          <w:color w:val="000000"/>
          <w:sz w:val="24"/>
          <w:szCs w:val="24"/>
        </w:rPr>
        <w:t>I</w:t>
      </w:r>
    </w:p>
    <w:p w:rsidR="00B41585" w:rsidRPr="00B41585" w:rsidRDefault="00B41585" w:rsidP="00B41585">
      <w:pPr>
        <w:pStyle w:val="t-10-9-kurz-s"/>
        <w:spacing w:before="120" w:beforeAutospacing="0" w:after="120" w:afterAutospacing="0"/>
        <w:rPr>
          <w:b/>
          <w:color w:val="000000"/>
          <w:sz w:val="24"/>
          <w:szCs w:val="24"/>
        </w:rPr>
      </w:pPr>
      <w:r w:rsidRPr="00B41585">
        <w:rPr>
          <w:b/>
          <w:color w:val="000000"/>
          <w:sz w:val="24"/>
          <w:szCs w:val="24"/>
        </w:rPr>
        <w:t>ČLANAKA DODATKA I TEMELJNOM KOLEKTIVNOM UGOVORU</w:t>
      </w:r>
    </w:p>
    <w:p w:rsidR="00B41585" w:rsidRDefault="00B41585" w:rsidP="00B41585">
      <w:pPr>
        <w:pStyle w:val="t-10-9-kurz-s"/>
        <w:spacing w:before="120" w:beforeAutospacing="0" w:after="120" w:afterAutospacing="0"/>
        <w:jc w:val="left"/>
        <w:rPr>
          <w:color w:val="000000"/>
          <w:sz w:val="24"/>
          <w:szCs w:val="24"/>
        </w:rPr>
      </w:pPr>
    </w:p>
    <w:p w:rsidR="00B41585" w:rsidRPr="00B41585" w:rsidRDefault="00B41585" w:rsidP="00617554">
      <w:pPr>
        <w:pStyle w:val="t-10-9-kurz-s"/>
        <w:numPr>
          <w:ilvl w:val="0"/>
          <w:numId w:val="2"/>
        </w:numPr>
        <w:spacing w:before="120" w:beforeAutospacing="0" w:after="120" w:afterAutospacing="0"/>
        <w:rPr>
          <w:color w:val="0070C0"/>
          <w:sz w:val="24"/>
          <w:szCs w:val="24"/>
          <w:u w:val="single"/>
        </w:rPr>
      </w:pPr>
      <w:r w:rsidRPr="00B41585">
        <w:rPr>
          <w:color w:val="0070C0"/>
          <w:sz w:val="24"/>
          <w:szCs w:val="24"/>
          <w:u w:val="single"/>
        </w:rPr>
        <w:t>Prijedlozi označeni plavom bojom</w:t>
      </w:r>
    </w:p>
    <w:p w:rsidR="00B41585" w:rsidRDefault="00B41585" w:rsidP="00821842">
      <w:pPr>
        <w:pStyle w:val="t-10-9-kurz-s"/>
        <w:spacing w:before="120" w:beforeAutospacing="0" w:after="120" w:afterAutospacing="0"/>
        <w:rPr>
          <w:color w:val="000000"/>
          <w:sz w:val="24"/>
          <w:szCs w:val="24"/>
        </w:rPr>
      </w:pPr>
    </w:p>
    <w:p w:rsidR="00617554" w:rsidRDefault="00617554" w:rsidP="00821842">
      <w:pPr>
        <w:pStyle w:val="t-10-9-kurz-s"/>
        <w:spacing w:before="120" w:beforeAutospacing="0" w:after="120" w:afterAutospacing="0"/>
        <w:rPr>
          <w:color w:val="000000"/>
          <w:sz w:val="24"/>
          <w:szCs w:val="24"/>
        </w:rPr>
      </w:pPr>
    </w:p>
    <w:p w:rsidR="00617554" w:rsidRDefault="00617554" w:rsidP="00617554">
      <w:pPr>
        <w:pStyle w:val="t-10-9-kurz-s"/>
        <w:spacing w:before="120" w:beforeAutospacing="0" w:after="120" w:afterAutospacing="0"/>
        <w:jc w:val="both"/>
        <w:rPr>
          <w:b/>
          <w:color w:val="000000"/>
          <w:sz w:val="24"/>
          <w:szCs w:val="24"/>
          <w:u w:val="single"/>
        </w:rPr>
      </w:pPr>
      <w:r w:rsidRPr="00617554">
        <w:rPr>
          <w:b/>
          <w:color w:val="000000"/>
          <w:sz w:val="24"/>
          <w:szCs w:val="24"/>
          <w:u w:val="single"/>
        </w:rPr>
        <w:t>TEMELJNI KOLEKTIVNI UGOVOR</w:t>
      </w:r>
      <w:r w:rsidR="00C345FB">
        <w:rPr>
          <w:b/>
          <w:color w:val="000000"/>
          <w:sz w:val="24"/>
          <w:szCs w:val="24"/>
          <w:u w:val="single"/>
        </w:rPr>
        <w:t xml:space="preserve"> (Prijedlog)</w:t>
      </w:r>
    </w:p>
    <w:p w:rsidR="00617554" w:rsidRPr="00617554" w:rsidRDefault="00617554" w:rsidP="00617554">
      <w:pPr>
        <w:pStyle w:val="t-10-9-kurz-s"/>
        <w:spacing w:before="120" w:beforeAutospacing="0" w:after="120" w:afterAutospacing="0"/>
        <w:jc w:val="both"/>
        <w:rPr>
          <w:b/>
          <w:color w:val="000000"/>
          <w:sz w:val="24"/>
          <w:szCs w:val="24"/>
          <w:u w:val="single"/>
        </w:rPr>
      </w:pPr>
    </w:p>
    <w:p w:rsidR="00821842" w:rsidRPr="00B97172" w:rsidRDefault="00821842" w:rsidP="00821842">
      <w:pPr>
        <w:pStyle w:val="t-10-9-kurz-s"/>
        <w:spacing w:before="120" w:beforeAutospacing="0" w:after="120" w:afterAutospacing="0"/>
        <w:rPr>
          <w:color w:val="000000"/>
          <w:sz w:val="24"/>
          <w:szCs w:val="24"/>
        </w:rPr>
      </w:pPr>
      <w:r w:rsidRPr="00B97172">
        <w:rPr>
          <w:color w:val="000000"/>
          <w:sz w:val="24"/>
          <w:szCs w:val="24"/>
        </w:rPr>
        <w:t>Plaćeni dopust</w:t>
      </w:r>
    </w:p>
    <w:p w:rsidR="00821842" w:rsidRPr="00B97172" w:rsidRDefault="00821842" w:rsidP="00821842">
      <w:pPr>
        <w:pStyle w:val="clanak"/>
        <w:spacing w:before="120" w:beforeAutospacing="0" w:after="120" w:afterAutospacing="0"/>
        <w:rPr>
          <w:color w:val="000000"/>
        </w:rPr>
      </w:pPr>
      <w:r w:rsidRPr="00B97172">
        <w:rPr>
          <w:color w:val="000000"/>
        </w:rPr>
        <w:t>Članak 44.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1. Zaposlenik ima pravo na plaćeni dopust tijekom jedne kalendarske godine do ukupno najviše 10 radnih dana u sljedećim slučajevima: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sklapanja braka – 5 radnih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rođenja djeteta – 5 radnih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smrti supružnika, djeteta, roditelja, očuha, maćehe, posvojenika, posvojitelja i unuka – 5 radnih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smrti brata ili sestre, djeda ili bake, te roditelja supružnika – 2 radna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selidbe u istom mjestu stanovanja – 2 radna dan;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selidbe u drugo mjesto stanovanja – 4 radna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teške bolesti roditelja ili djeteta izvan mjesta stanovanja – 3 radna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nastupanja u kulturnim i športskim priredbama – 1 radni dan;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</w:pPr>
      <w:r w:rsidRPr="00B97172">
        <w:t xml:space="preserve">– </w:t>
      </w:r>
      <w:commentRangeStart w:id="0"/>
      <w:r w:rsidR="00B41585">
        <w:rPr>
          <w:color w:val="0070C0"/>
        </w:rPr>
        <w:t>sudjelovanja na prosvjednim skupovima</w:t>
      </w:r>
      <w:commentRangeEnd w:id="0"/>
      <w:r w:rsidR="00B41585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="00B41585">
        <w:rPr>
          <w:color w:val="0070C0"/>
        </w:rPr>
        <w:t xml:space="preserve">, </w:t>
      </w:r>
      <w:r w:rsidRPr="00B97172">
        <w:t xml:space="preserve">sudjelovanja na sindikalnim susretima, seminarima </w:t>
      </w:r>
      <w:r w:rsidRPr="00B97172">
        <w:rPr>
          <w:color w:val="FF0000"/>
        </w:rPr>
        <w:t>i</w:t>
      </w:r>
      <w:r w:rsidRPr="00B97172">
        <w:t xml:space="preserve"> obrazovanju za sindikalne aktivnosti</w:t>
      </w:r>
      <w:r w:rsidRPr="00B97172">
        <w:rPr>
          <w:strike/>
          <w:color w:val="FF0000"/>
        </w:rPr>
        <w:t xml:space="preserve"> i dr. </w:t>
      </w:r>
      <w:r w:rsidRPr="00B97172">
        <w:t>– 2 radna dana;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elementarne nepogode – 5 radnih dana; i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– dobrovoljnog darivanja krvi – 2 radna dana.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2. Zaposlenik ima pravo na plaćeni dopust za svaki smrtni slučaj naveden u stavku 1. ovoga članka, neovisno o broju dana koje je tijekom iste godine iskoristio po drugim osnovama.</w:t>
      </w:r>
    </w:p>
    <w:p w:rsidR="00821842" w:rsidRPr="00B97172" w:rsidRDefault="00821842" w:rsidP="00821842">
      <w:pPr>
        <w:pStyle w:val="t-9-8"/>
        <w:spacing w:before="120" w:beforeAutospacing="0" w:after="120" w:afterAutospacing="0"/>
        <w:jc w:val="both"/>
        <w:rPr>
          <w:color w:val="000000"/>
        </w:rPr>
      </w:pPr>
      <w:r w:rsidRPr="00B97172">
        <w:rPr>
          <w:color w:val="000000"/>
        </w:rPr>
        <w:t>3. Ako slučaj iz stavka 1. ovoga članka nastane za vrijeme dok je zaposlenik na godišnjem odmoru, na zahtjev zaposlenika korištenje godišnjeg odmora se prekida te zaposlenik koristi plaćeni dopust.</w:t>
      </w:r>
    </w:p>
    <w:p w:rsidR="008B000D" w:rsidRDefault="008B000D"/>
    <w:p w:rsidR="00241030" w:rsidRDefault="00241030"/>
    <w:p w:rsidR="008B000D" w:rsidRPr="00241030" w:rsidRDefault="008B000D" w:rsidP="008B000D">
      <w:pPr>
        <w:pStyle w:val="NoSpacing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Naknada za trošak prijevoza</w:t>
      </w:r>
    </w:p>
    <w:p w:rsidR="008B000D" w:rsidRPr="00241030" w:rsidRDefault="008B000D" w:rsidP="008B000D">
      <w:pPr>
        <w:pStyle w:val="NoSpacing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commentRangeStart w:id="1"/>
      <w:r w:rsidRPr="00241030">
        <w:rPr>
          <w:rFonts w:ascii="Times New Roman" w:hAnsi="Times New Roman" w:cs="Times New Roman"/>
          <w:color w:val="0070C0"/>
          <w:sz w:val="24"/>
          <w:szCs w:val="24"/>
        </w:rPr>
        <w:t>Članak 67.</w:t>
      </w:r>
      <w:commentRangeEnd w:id="1"/>
      <w:r w:rsidR="00B41585" w:rsidRPr="00241030">
        <w:rPr>
          <w:rStyle w:val="CommentReference"/>
          <w:color w:val="0070C0"/>
        </w:rPr>
        <w:commentReference w:id="1"/>
      </w:r>
    </w:p>
    <w:p w:rsidR="008B000D" w:rsidRPr="00241030" w:rsidRDefault="008B000D" w:rsidP="008B000D">
      <w:pPr>
        <w:pStyle w:val="NoSpacing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1. Zaposlenik ima pravo na naknadu troškova prijevoza na posao i s posla mjesnim javnim prijevozom.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2. Ako nije organiziran mjesni javni prijevoz koji omogućava zaposleniku redovit dolazak na posao i odlazak s posla, zaposlenik ima pravo na naknadu troškova prijevoza koja se utvrđuje u visini cijene mjesečne karte javnog prijevoza najbližeg mjesta u kojem je taj prijevoz organiziran.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3. U slučaju da postoji mogućnost kupnje godišnje karte, zaposlenik ima pravo na godišnju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kartu ako mu je to povoljnije, ili na 1/11 cijene godišnje karte koja se isplaćuje svakog mjeseca u godini.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4. Ukoliko nema mogućnosti kupnje godišnje, već samo mjesečne karte, zaposlenik koji stanuje </w:t>
      </w:r>
      <w:r w:rsidR="00033B63"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2 ili više </w:t>
      </w: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km od mjesta rada, ima pravo na mjesečnu kartu ako mu je to povoljnije ili pravo na isplatu troškova mjesnog prijevoza u visini cijene mjesečne karte.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033B63" w:rsidRPr="00241030">
        <w:rPr>
          <w:rFonts w:ascii="Times New Roman" w:hAnsi="Times New Roman" w:cs="Times New Roman"/>
          <w:color w:val="0070C0"/>
          <w:sz w:val="24"/>
          <w:szCs w:val="24"/>
        </w:rPr>
        <w:t>. Zaposlenik koji ima manje od 2</w:t>
      </w: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 km od mjesta stanovanja do mjesta rada ili do stanice međumjesnog prijevoza, nema pravo na naknadu troškova mjesnog prijevoza.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6. Zaposlenik kojem nije organiziran mjesni javni prijevoz na posao i s posla ima pravo na naknadu za mjesni prijevoz u skladu s odredbama stavka 4. i 5. ovoga članka, ovisno o udaljenosti mjesta stanovanja od mjesta rada.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7. Zaposlenik ima pravo na naknadu troškova prijevoza na posao i s posla međumjesnim javnim prijevozom u visini stvarnih izdataka prema cijeni mjesečne, odnosno pojedinačne karte, ukoliko je mjesto stanovanja udaljeno do 100 km od mjesta rada.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8. U slučaju udaljenosti mjesta stanovanja od mjesta rada većoj od 100 km, naknada troškova prijevoza na posao i s posla međumjesnim javnim prijevozom, utvrđuje se posebnom odlukom Ministarstva.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9. U mjestu u kojem je javni prijevoz organiziran na način da se mjesečnom ili godišnjom kartom pokrivaju mjesni i međumjesni javni prijevoz (tzv. prijevozne zone), zaposlenik koji koristi takvu vrstu prijevoza ne ostvaruje pravo iz stavka 4. i 5. ovoga članka.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10. Ako zaposlenik mora sa stanice međumjesnog javnog prijevoza koristiti i mjesni prijevoz, stvarni izdaci utvrđuju se u visini troškova mjesnog i međumjesnog javnog prijevoza.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11. Troškovi mjesnog prijevoza zaposlenika do najbliže stanice međumjesnog prijevoza utvrđuju se u skladu s odredbom stavka 4. i 5. ovoga članka, ovisno o udaljenosti mjesta stanovanja od stanice međumjesnog prijevoza.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12. Ako postoji više mogućnosti korištenja javnog prijevoza, o povoljnosti odlučuje poslodavac uzimajući u obzir vremenski najprihvatljiviji prijevoz za zaposlenika, uvažavajući racionalnost troškova.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13. Ako nije organiziran međumjesni javni prijevoz koji omogućava zaposleniku redovit dolazak na posao i odlazak s posla, zaposlenik ima pravo na naknadu troškova prijevoza koja se utvrđuje u visini cijene karte međumjesnog javnog prijevoza za istu udaljenost na tom području.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14. Naknada troškova prijevoza isplaćuje se unaprijed i to najkasnije posljednjeg dana u mjesecu za idući mjesec.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15. Iznimno od stavka 1. do 14. ovoga članka, naknada troškova mjesnog i međumjesnog prijevoza na posao i s posla ne isplaćuje se u slučaju godišnjeg odmora, porodnog dopusta i bolovanja dužeg od 42 dana.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16. Zbog korištenja godišnjeg odmora zaposleniku se naknada troškova prijevoza neće isplatiti za onaj mjesec u kojem koristi najveći dio godišnjeg odmora.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t xml:space="preserve">17. Pravo na naknadu troškova prijevoza na posao i s posla ima pod jednakim uvjetima iz ovoga članka i onaj zaposlenik koji ne koristi javni prijevoz, nego osobni automobil i sl. </w:t>
      </w:r>
    </w:p>
    <w:p w:rsidR="008B000D" w:rsidRPr="00241030" w:rsidRDefault="008B000D" w:rsidP="008B000D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1030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18. Pravo na troškove prijevoza nema onaj zaposlenik koji ostvaruje pravo na besplatan prijevoz. </w:t>
      </w: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Pr="00B41585" w:rsidRDefault="00B41585" w:rsidP="00B41585">
      <w:pPr>
        <w:pStyle w:val="clanak"/>
        <w:spacing w:before="120" w:beforeAutospacing="0" w:after="120" w:afterAutospacing="0"/>
        <w:rPr>
          <w:b/>
          <w:strike/>
          <w:color w:val="FF0000"/>
        </w:rPr>
      </w:pPr>
      <w:commentRangeStart w:id="2"/>
      <w:r w:rsidRPr="00B41585">
        <w:rPr>
          <w:b/>
          <w:strike/>
          <w:color w:val="FF0000"/>
        </w:rPr>
        <w:t>Članak 91.</w:t>
      </w:r>
      <w:commentRangeEnd w:id="2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2"/>
      </w:r>
    </w:p>
    <w:p w:rsidR="00B41585" w:rsidRPr="00B41585" w:rsidRDefault="00B41585" w:rsidP="00B41585">
      <w:pPr>
        <w:pStyle w:val="clanak"/>
        <w:spacing w:before="120" w:beforeAutospacing="0" w:after="120" w:afterAutospacing="0"/>
        <w:jc w:val="both"/>
        <w:rPr>
          <w:strike/>
          <w:color w:val="FF0000"/>
          <w:sz w:val="20"/>
        </w:rPr>
      </w:pPr>
      <w:r w:rsidRPr="00B41585">
        <w:rPr>
          <w:strike/>
          <w:color w:val="FF0000"/>
        </w:rPr>
        <w:t>Materijalna prava iz članka 60., članka 64. stavka 2., članka 67., članka 69. stavka 1. i 2. i članka 71. ovoga Kolektivnog ugovora ne mogu biti predmet uređenja granskih kolektivnih ugovora.</w:t>
      </w: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Pr="00B41585" w:rsidRDefault="00B41585" w:rsidP="00B41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hr-HR"/>
        </w:rPr>
      </w:pPr>
      <w:commentRangeStart w:id="3"/>
      <w:r w:rsidRPr="00B41585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hr-HR"/>
        </w:rPr>
        <w:t>Članak 94.</w:t>
      </w:r>
      <w:commentRangeEnd w:id="3"/>
      <w:r w:rsidR="00617554">
        <w:rPr>
          <w:rStyle w:val="CommentReference"/>
        </w:rPr>
        <w:commentReference w:id="3"/>
      </w:r>
    </w:p>
    <w:p w:rsidR="00B41585" w:rsidRPr="00B41585" w:rsidRDefault="00B41585" w:rsidP="00B41585">
      <w:pPr>
        <w:pStyle w:val="t-9-8"/>
        <w:spacing w:before="120" w:beforeAutospacing="0" w:after="120" w:afterAutospacing="0"/>
        <w:jc w:val="both"/>
        <w:rPr>
          <w:strike/>
          <w:color w:val="FF0000"/>
        </w:rPr>
      </w:pPr>
      <w:r w:rsidRPr="00B41585">
        <w:rPr>
          <w:strike/>
          <w:color w:val="FF0000"/>
        </w:rPr>
        <w:t>U prvom mjesecu primjene ovoga</w:t>
      </w:r>
      <w:r w:rsidRPr="00B41585">
        <w:rPr>
          <w:strike/>
          <w:color w:val="0070C0"/>
        </w:rPr>
        <w:t xml:space="preserve"> </w:t>
      </w:r>
      <w:r w:rsidRPr="00B41585">
        <w:rPr>
          <w:strike/>
          <w:color w:val="FF0000"/>
        </w:rPr>
        <w:t>članka 67. ovoga Ugovora, zaposlenicima kojima iznos naknade troška prijevoza prelazi 25% isplaćene neto plaće, poslodavac na osobni zahtjev može odobriti isplatu djelomične akontacije troškova prijevoza, najviše do 50% iznosa naknade.</w:t>
      </w: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617554" w:rsidRDefault="00617554" w:rsidP="00617554">
      <w:pPr>
        <w:pStyle w:val="t-10-9-kurz-s"/>
        <w:spacing w:before="120" w:beforeAutospacing="0" w:after="120" w:afterAutospacing="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DODATAK I TEMELJNOM KOLEKTIVNOM </w:t>
      </w:r>
      <w:r w:rsidRPr="00617554">
        <w:rPr>
          <w:b/>
          <w:color w:val="000000"/>
          <w:sz w:val="24"/>
          <w:szCs w:val="24"/>
          <w:u w:val="single"/>
        </w:rPr>
        <w:t>UGOVOR</w:t>
      </w:r>
      <w:r>
        <w:rPr>
          <w:b/>
          <w:color w:val="000000"/>
          <w:sz w:val="24"/>
          <w:szCs w:val="24"/>
          <w:u w:val="single"/>
        </w:rPr>
        <w:t>U</w:t>
      </w:r>
      <w:r w:rsidR="00C345FB">
        <w:rPr>
          <w:b/>
          <w:color w:val="000000"/>
          <w:sz w:val="24"/>
          <w:szCs w:val="24"/>
          <w:u w:val="single"/>
        </w:rPr>
        <w:t xml:space="preserve"> (Prijedlog)</w:t>
      </w:r>
      <w:bookmarkStart w:id="4" w:name="_GoBack"/>
      <w:bookmarkEnd w:id="4"/>
    </w:p>
    <w:p w:rsidR="00617554" w:rsidRDefault="00617554" w:rsidP="00617554">
      <w:pPr>
        <w:pStyle w:val="t-10-9-kurz-s"/>
        <w:spacing w:before="120" w:beforeAutospacing="0" w:after="120" w:afterAutospacing="0"/>
        <w:jc w:val="both"/>
        <w:rPr>
          <w:b/>
          <w:color w:val="000000"/>
          <w:sz w:val="24"/>
          <w:szCs w:val="24"/>
          <w:u w:val="single"/>
        </w:rPr>
      </w:pPr>
    </w:p>
    <w:p w:rsidR="00617554" w:rsidRPr="00617554" w:rsidRDefault="00617554" w:rsidP="00617554">
      <w:pPr>
        <w:pStyle w:val="t-10-9-kurz-s"/>
        <w:spacing w:before="120" w:beforeAutospacing="0" w:after="120" w:afterAutospacing="0"/>
        <w:jc w:val="left"/>
        <w:rPr>
          <w:b/>
          <w:i w:val="0"/>
          <w:color w:val="000000"/>
          <w:sz w:val="24"/>
          <w:szCs w:val="24"/>
          <w:u w:val="single"/>
        </w:rPr>
      </w:pPr>
      <w:r w:rsidRPr="00617554">
        <w:rPr>
          <w:b/>
          <w:i w:val="0"/>
          <w:color w:val="000000"/>
          <w:sz w:val="24"/>
          <w:szCs w:val="24"/>
          <w:u w:val="single"/>
        </w:rPr>
        <w:t>Dodat</w:t>
      </w:r>
      <w:r w:rsidR="00132B7C">
        <w:rPr>
          <w:b/>
          <w:i w:val="0"/>
          <w:color w:val="000000"/>
          <w:sz w:val="24"/>
          <w:szCs w:val="24"/>
          <w:u w:val="single"/>
        </w:rPr>
        <w:t>ak I potrebno je nadopuniti s</w:t>
      </w:r>
      <w:r w:rsidRPr="00617554">
        <w:rPr>
          <w:b/>
          <w:i w:val="0"/>
          <w:color w:val="000000"/>
          <w:sz w:val="24"/>
          <w:szCs w:val="24"/>
          <w:u w:val="single"/>
        </w:rPr>
        <w:t xml:space="preserve"> </w:t>
      </w:r>
      <w:r w:rsidR="00132B7C">
        <w:rPr>
          <w:b/>
          <w:i w:val="0"/>
          <w:color w:val="000000"/>
          <w:sz w:val="24"/>
          <w:szCs w:val="24"/>
          <w:u w:val="single"/>
        </w:rPr>
        <w:t>jednim novim</w:t>
      </w:r>
      <w:r w:rsidRPr="00617554">
        <w:rPr>
          <w:b/>
          <w:i w:val="0"/>
          <w:color w:val="000000"/>
          <w:sz w:val="24"/>
          <w:szCs w:val="24"/>
          <w:u w:val="single"/>
        </w:rPr>
        <w:t xml:space="preserve"> čla</w:t>
      </w:r>
      <w:r w:rsidR="00132B7C">
        <w:rPr>
          <w:b/>
          <w:i w:val="0"/>
          <w:color w:val="000000"/>
          <w:sz w:val="24"/>
          <w:szCs w:val="24"/>
          <w:u w:val="single"/>
        </w:rPr>
        <w:t>nkom</w:t>
      </w:r>
      <w:r w:rsidRPr="00617554">
        <w:rPr>
          <w:b/>
          <w:i w:val="0"/>
          <w:color w:val="000000"/>
          <w:sz w:val="24"/>
          <w:szCs w:val="24"/>
          <w:u w:val="single"/>
        </w:rPr>
        <w:t xml:space="preserve"> sljedećeg sadržaja:</w:t>
      </w: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617554" w:rsidRPr="00241030" w:rsidRDefault="00617554" w:rsidP="00617554">
      <w:pPr>
        <w:pStyle w:val="t-10-9-kurz-s"/>
        <w:spacing w:before="120" w:beforeAutospacing="0" w:after="120" w:afterAutospacing="0"/>
        <w:rPr>
          <w:color w:val="0070C0"/>
          <w:sz w:val="24"/>
          <w:szCs w:val="24"/>
        </w:rPr>
      </w:pPr>
      <w:r w:rsidRPr="00241030">
        <w:rPr>
          <w:color w:val="0070C0"/>
          <w:sz w:val="24"/>
          <w:szCs w:val="24"/>
        </w:rPr>
        <w:t>Članak</w:t>
      </w:r>
      <w:r w:rsidR="00241030" w:rsidRPr="00241030">
        <w:rPr>
          <w:color w:val="0070C0"/>
          <w:sz w:val="24"/>
          <w:szCs w:val="24"/>
        </w:rPr>
        <w:t xml:space="preserve"> 6.</w:t>
      </w:r>
    </w:p>
    <w:p w:rsidR="00241030" w:rsidRPr="00241030" w:rsidRDefault="00241030" w:rsidP="00241030">
      <w:pPr>
        <w:pStyle w:val="t-10-9-kurz-s"/>
        <w:spacing w:before="120" w:beforeAutospacing="0" w:after="120" w:afterAutospacing="0"/>
        <w:jc w:val="both"/>
        <w:rPr>
          <w:color w:val="0070C0"/>
          <w:sz w:val="24"/>
          <w:szCs w:val="24"/>
        </w:rPr>
      </w:pPr>
      <w:r w:rsidRPr="00241030">
        <w:rPr>
          <w:color w:val="0070C0"/>
          <w:sz w:val="24"/>
          <w:szCs w:val="24"/>
        </w:rPr>
        <w:t xml:space="preserve">Iznos materijalnih prava iz članka 60., članka 69. i članka 71., čija se isplata temeljem ovog Dodatka privremeno ograničava, isplatit će se zaposlenicima u trenutku kada BDP poraste </w:t>
      </w:r>
      <w:commentRangeStart w:id="5"/>
      <w:r w:rsidRPr="00241030">
        <w:rPr>
          <w:color w:val="0070C0"/>
          <w:sz w:val="24"/>
          <w:szCs w:val="24"/>
        </w:rPr>
        <w:t>___________________________</w:t>
      </w:r>
      <w:commentRangeEnd w:id="5"/>
      <w:r w:rsidRPr="00241030">
        <w:rPr>
          <w:rStyle w:val="CommentReference"/>
          <w:rFonts w:asciiTheme="minorHAnsi" w:eastAsiaTheme="minorHAnsi" w:hAnsiTheme="minorHAnsi" w:cstheme="minorBidi"/>
          <w:i w:val="0"/>
          <w:iCs w:val="0"/>
          <w:color w:val="0070C0"/>
          <w:lang w:eastAsia="en-US"/>
        </w:rPr>
        <w:commentReference w:id="5"/>
      </w:r>
      <w:r w:rsidRPr="00241030">
        <w:rPr>
          <w:color w:val="0070C0"/>
          <w:sz w:val="24"/>
          <w:szCs w:val="24"/>
        </w:rPr>
        <w:t>.</w:t>
      </w:r>
    </w:p>
    <w:p w:rsidR="00B41585" w:rsidRPr="00241030" w:rsidRDefault="00241030" w:rsidP="00B41585">
      <w:pPr>
        <w:pStyle w:val="t-10-9-kurz-s"/>
        <w:spacing w:before="120" w:beforeAutospacing="0" w:after="120" w:afterAutospacing="0"/>
        <w:jc w:val="both"/>
        <w:rPr>
          <w:color w:val="0070C0"/>
          <w:sz w:val="24"/>
          <w:szCs w:val="24"/>
        </w:rPr>
      </w:pPr>
      <w:r w:rsidRPr="00241030">
        <w:rPr>
          <w:color w:val="0070C0"/>
          <w:sz w:val="24"/>
          <w:szCs w:val="24"/>
        </w:rPr>
        <w:t>Pravo na isplatu iz stavka 1. ovog članka imaju isključivo zaposlenici kojima su navedena prava uskraćena ovim Dodatkom.</w:t>
      </w:r>
    </w:p>
    <w:p w:rsidR="00B41585" w:rsidRDefault="00B41585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241030" w:rsidRPr="00132B7C" w:rsidRDefault="00132B7C" w:rsidP="00132B7C">
      <w:pPr>
        <w:pStyle w:val="t-10-9-kurz-s"/>
        <w:spacing w:before="120" w:beforeAutospacing="0" w:after="120" w:afterAutospacing="0"/>
        <w:jc w:val="left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Članci 6. i</w:t>
      </w:r>
      <w:r w:rsidR="00241030" w:rsidRPr="00132B7C">
        <w:rPr>
          <w:b/>
          <w:color w:val="0070C0"/>
          <w:sz w:val="24"/>
          <w:szCs w:val="24"/>
          <w:u w:val="single"/>
        </w:rPr>
        <w:t xml:space="preserve"> 7</w:t>
      </w:r>
      <w:r>
        <w:rPr>
          <w:b/>
          <w:color w:val="0070C0"/>
          <w:sz w:val="24"/>
          <w:szCs w:val="24"/>
          <w:u w:val="single"/>
        </w:rPr>
        <w:t>. Dodatka I postaju članci 7. i 8.</w:t>
      </w:r>
    </w:p>
    <w:p w:rsidR="00241030" w:rsidRDefault="00241030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132B7C" w:rsidRDefault="00132B7C" w:rsidP="0013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2B7C" w:rsidRPr="009420EA" w:rsidRDefault="009420EA" w:rsidP="001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20EA">
        <w:rPr>
          <w:rFonts w:ascii="Times New Roman" w:hAnsi="Times New Roman" w:cs="Times New Roman"/>
          <w:b/>
          <w:bCs/>
          <w:sz w:val="28"/>
          <w:szCs w:val="28"/>
          <w:u w:val="single"/>
        </w:rPr>
        <w:t>PRETHODNI UVJET</w:t>
      </w:r>
      <w:r w:rsidR="00132B7C" w:rsidRPr="009420E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132B7C" w:rsidRPr="009420EA" w:rsidRDefault="00132B7C" w:rsidP="001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132B7C" w:rsidRPr="009420EA" w:rsidRDefault="00132B7C" w:rsidP="001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Prije potpisivanja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novog Temeljnog kolektivnog ugovora i Dodatka I istome, potrebno je da Vlada RH 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povuče svoj Zaključak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o prestanku isplate uvećanja koeficijenata složenosti poslova ovisno o godinama staža temeljem Uredbe o raspodjeli dodatnih sredstava za plaće učitelja i nastavnika u 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osnovnom i srednjem školstvu u 2003. i 2004. godini</w:t>
      </w:r>
      <w:r w:rsidR="009420EA"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od 19. </w:t>
      </w:r>
      <w:r w:rsidR="009420EA"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s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rpnja 2012. </w:t>
      </w:r>
      <w:r w:rsidR="009420EA"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g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odine</w:t>
      </w:r>
      <w:r w:rsidR="009420EA"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te da</w:t>
      </w:r>
    </w:p>
    <w:p w:rsidR="009420EA" w:rsidRPr="009420EA" w:rsidRDefault="009420EA" w:rsidP="00132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donese novi zaključak</w:t>
      </w:r>
      <w:r w:rsidRPr="009420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o isplati navedenog uvećanja koeficijenata složenosti poslova od 01. prosinca 2012. godine i obveže se da će u razumnom roku isto pravo ugraditi u granskim kolektivnim ugovorima za osnovno i srednje školstvo (do kada će se isplata vršiti temeljem novog zaključka Vlade).</w:t>
      </w:r>
    </w:p>
    <w:p w:rsidR="00132B7C" w:rsidRDefault="00132B7C" w:rsidP="0013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0EA" w:rsidRPr="00EF19CE" w:rsidRDefault="009420EA" w:rsidP="00EF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F19C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Obveza reguliranja ovog prava u granskim kolektivnim ugovorima za osnovno i srednje školstvo, temeljem prethodno donesenog zaključka Vlade RH, treba se ugraditi </w:t>
      </w:r>
      <w:r w:rsidR="00EF19CE" w:rsidRPr="00EF19C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u odredbe Dodatka I Temeljnog kolektivnog ugovora.</w:t>
      </w:r>
      <w:r w:rsidRPr="00EF19CE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</w:t>
      </w:r>
    </w:p>
    <w:p w:rsidR="00132B7C" w:rsidRDefault="00132B7C" w:rsidP="00132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0EA" w:rsidRDefault="009420EA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241030" w:rsidRDefault="009420EA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Zagrebu, 03. prosinca 2012.</w:t>
      </w:r>
    </w:p>
    <w:p w:rsidR="009420EA" w:rsidRDefault="009420EA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241030" w:rsidRDefault="00241030" w:rsidP="00B41585">
      <w:pPr>
        <w:pStyle w:val="t-10-9-kurz-s"/>
        <w:spacing w:before="120" w:beforeAutospacing="0" w:after="120" w:afterAutospacing="0"/>
        <w:jc w:val="both"/>
        <w:rPr>
          <w:color w:val="000000"/>
          <w:sz w:val="24"/>
          <w:szCs w:val="24"/>
        </w:rPr>
      </w:pPr>
    </w:p>
    <w:p w:rsidR="00B41585" w:rsidRPr="009420EA" w:rsidRDefault="00B41585" w:rsidP="009420EA">
      <w:pPr>
        <w:pStyle w:val="t-10-9-kurz-s"/>
        <w:spacing w:before="120" w:beforeAutospacing="0" w:after="120" w:afterAutospacing="0"/>
        <w:jc w:val="right"/>
        <w:rPr>
          <w:b/>
          <w:color w:val="000000"/>
          <w:sz w:val="24"/>
          <w:szCs w:val="24"/>
        </w:rPr>
      </w:pPr>
      <w:r w:rsidRPr="009420EA">
        <w:rPr>
          <w:b/>
          <w:color w:val="000000"/>
          <w:sz w:val="24"/>
          <w:szCs w:val="24"/>
        </w:rPr>
        <w:t>Sindikat hrvatskih učitelja</w:t>
      </w:r>
    </w:p>
    <w:p w:rsidR="00B41585" w:rsidRPr="009420EA" w:rsidRDefault="00B41585" w:rsidP="009420EA">
      <w:pPr>
        <w:pStyle w:val="t-10-9-kurz-s"/>
        <w:spacing w:before="120" w:beforeAutospacing="0" w:after="120" w:afterAutospacing="0"/>
        <w:jc w:val="right"/>
        <w:rPr>
          <w:b/>
          <w:color w:val="000000"/>
          <w:sz w:val="24"/>
          <w:szCs w:val="24"/>
        </w:rPr>
      </w:pPr>
      <w:r w:rsidRPr="009420EA">
        <w:rPr>
          <w:b/>
          <w:color w:val="000000"/>
          <w:sz w:val="24"/>
          <w:szCs w:val="24"/>
        </w:rPr>
        <w:t>Nezavisni sindikat zaposlenih u srednjim školama Hrvatske</w:t>
      </w:r>
    </w:p>
    <w:p w:rsidR="00B41585" w:rsidRPr="009420EA" w:rsidRDefault="00B41585" w:rsidP="009420EA">
      <w:pPr>
        <w:pStyle w:val="t-10-9-kurz-s"/>
        <w:spacing w:before="120" w:beforeAutospacing="0" w:after="120" w:afterAutospacing="0"/>
        <w:jc w:val="right"/>
        <w:rPr>
          <w:b/>
          <w:color w:val="000000"/>
          <w:sz w:val="24"/>
          <w:szCs w:val="24"/>
        </w:rPr>
      </w:pPr>
      <w:r w:rsidRPr="009420EA">
        <w:rPr>
          <w:b/>
          <w:color w:val="000000"/>
          <w:sz w:val="24"/>
          <w:szCs w:val="24"/>
        </w:rPr>
        <w:t>Nezavisni sindikat znanosti i visokog obrazovanja</w:t>
      </w:r>
    </w:p>
    <w:p w:rsidR="00B41585" w:rsidRPr="009420EA" w:rsidRDefault="00B41585" w:rsidP="009420EA">
      <w:pPr>
        <w:pStyle w:val="t-10-9-kurz-s"/>
        <w:spacing w:before="120" w:beforeAutospacing="0" w:after="120" w:afterAutospacing="0"/>
        <w:jc w:val="right"/>
        <w:rPr>
          <w:b/>
          <w:color w:val="000000"/>
          <w:sz w:val="24"/>
          <w:szCs w:val="24"/>
        </w:rPr>
      </w:pPr>
      <w:r w:rsidRPr="009420EA">
        <w:rPr>
          <w:b/>
          <w:color w:val="000000"/>
          <w:sz w:val="24"/>
          <w:szCs w:val="24"/>
        </w:rPr>
        <w:t>Hrvatski strukovni sindikat medicinskih sestara – medicinskih tehničara</w:t>
      </w:r>
    </w:p>
    <w:p w:rsidR="008B000D" w:rsidRPr="00033B63" w:rsidRDefault="008B000D" w:rsidP="008B000D">
      <w:pPr>
        <w:pStyle w:val="NoSpacing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8B000D" w:rsidRPr="0003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rela Bojić" w:date="2012-12-03T15:51:00Z" w:initials="MB">
    <w:p w:rsidR="00B41585" w:rsidRDefault="00B41585">
      <w:pPr>
        <w:pStyle w:val="CommentText"/>
      </w:pPr>
      <w:r>
        <w:rPr>
          <w:rStyle w:val="CommentReference"/>
        </w:rPr>
        <w:annotationRef/>
      </w:r>
      <w:r>
        <w:t xml:space="preserve">Dopuna </w:t>
      </w:r>
    </w:p>
  </w:comment>
  <w:comment w:id="1" w:author="Mirela Bojić" w:date="2012-12-03T15:52:00Z" w:initials="MB">
    <w:p w:rsidR="00B41585" w:rsidRDefault="00B41585">
      <w:pPr>
        <w:pStyle w:val="CommentText"/>
      </w:pPr>
      <w:r>
        <w:rPr>
          <w:rStyle w:val="CommentReference"/>
        </w:rPr>
        <w:annotationRef/>
      </w:r>
      <w:r>
        <w:t>Novi prijedlog članka</w:t>
      </w:r>
    </w:p>
  </w:comment>
  <w:comment w:id="2" w:author="Mirela Bojić" w:date="2012-12-03T15:52:00Z" w:initials="MB">
    <w:p w:rsidR="00B41585" w:rsidRDefault="00B41585">
      <w:pPr>
        <w:pStyle w:val="CommentText"/>
      </w:pPr>
      <w:r>
        <w:rPr>
          <w:rStyle w:val="CommentReference"/>
        </w:rPr>
        <w:annotationRef/>
      </w:r>
      <w:r>
        <w:t>Brisati članak</w:t>
      </w:r>
    </w:p>
  </w:comment>
  <w:comment w:id="3" w:author="Mirela Bojić" w:date="2012-12-03T15:57:00Z" w:initials="MB">
    <w:p w:rsidR="00617554" w:rsidRDefault="00617554">
      <w:pPr>
        <w:pStyle w:val="CommentText"/>
      </w:pPr>
      <w:r>
        <w:rPr>
          <w:rStyle w:val="CommentReference"/>
        </w:rPr>
        <w:annotationRef/>
      </w:r>
      <w:r>
        <w:t>Ukoliko se prihvati predloženi sadržaj  članka 67., brisati  ovaj članak</w:t>
      </w:r>
    </w:p>
  </w:comment>
  <w:comment w:id="5" w:author="Mirela Bojić" w:date="2012-12-03T16:13:00Z" w:initials="MB">
    <w:p w:rsidR="00241030" w:rsidRDefault="00241030">
      <w:pPr>
        <w:pStyle w:val="CommentText"/>
      </w:pPr>
      <w:r>
        <w:rPr>
          <w:rStyle w:val="CommentReference"/>
        </w:rPr>
        <w:annotationRef/>
      </w:r>
      <w:r>
        <w:t>Kriterij za isplatu neka predloži Vlada RH.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23E0"/>
    <w:multiLevelType w:val="hybridMultilevel"/>
    <w:tmpl w:val="8F54FE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21B5F"/>
    <w:multiLevelType w:val="hybridMultilevel"/>
    <w:tmpl w:val="BAFAAED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2"/>
    <w:rsid w:val="00033B63"/>
    <w:rsid w:val="00100B43"/>
    <w:rsid w:val="00132B7C"/>
    <w:rsid w:val="00241030"/>
    <w:rsid w:val="005A429E"/>
    <w:rsid w:val="00617554"/>
    <w:rsid w:val="00821842"/>
    <w:rsid w:val="008B000D"/>
    <w:rsid w:val="00906837"/>
    <w:rsid w:val="009420EA"/>
    <w:rsid w:val="00B41585"/>
    <w:rsid w:val="00C345FB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821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821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B0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B000D"/>
    <w:rPr>
      <w:color w:val="auto"/>
    </w:rPr>
  </w:style>
  <w:style w:type="paragraph" w:styleId="NoSpacing">
    <w:name w:val="No Spacing"/>
    <w:uiPriority w:val="1"/>
    <w:qFormat/>
    <w:rsid w:val="008B00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821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821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B0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B000D"/>
    <w:rPr>
      <w:color w:val="auto"/>
    </w:rPr>
  </w:style>
  <w:style w:type="paragraph" w:styleId="NoSpacing">
    <w:name w:val="No Spacing"/>
    <w:uiPriority w:val="1"/>
    <w:qFormat/>
    <w:rsid w:val="008B00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Bojić</dc:creator>
  <cp:lastModifiedBy>Mirela Bojić</cp:lastModifiedBy>
  <cp:revision>7</cp:revision>
  <dcterms:created xsi:type="dcterms:W3CDTF">2012-12-03T13:26:00Z</dcterms:created>
  <dcterms:modified xsi:type="dcterms:W3CDTF">2012-12-03T15:47:00Z</dcterms:modified>
</cp:coreProperties>
</file>